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5F157" w14:textId="501CD756" w:rsidR="00286CDD" w:rsidRPr="00286CDD" w:rsidRDefault="003C2281" w:rsidP="003C2281">
      <w:pPr>
        <w:widowControl w:val="0"/>
        <w:suppressAutoHyphens/>
        <w:ind w:left="4962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УТВЕРЖДЕНЫ</w:t>
      </w:r>
    </w:p>
    <w:p w14:paraId="74C69B1C" w14:textId="26456ABF" w:rsidR="00286CDD" w:rsidRDefault="00286CDD" w:rsidP="003C2281">
      <w:pPr>
        <w:widowControl w:val="0"/>
        <w:suppressAutoHyphens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86CDD">
        <w:rPr>
          <w:sz w:val="28"/>
          <w:szCs w:val="28"/>
          <w:lang w:val="ru-RU"/>
        </w:rPr>
        <w:t xml:space="preserve">риказом </w:t>
      </w:r>
      <w:r>
        <w:rPr>
          <w:sz w:val="28"/>
          <w:szCs w:val="28"/>
          <w:lang w:val="ru-RU"/>
        </w:rPr>
        <w:t xml:space="preserve">от </w:t>
      </w:r>
      <w:r w:rsidR="003C2281">
        <w:rPr>
          <w:sz w:val="28"/>
          <w:szCs w:val="28"/>
          <w:lang w:val="ru-RU"/>
        </w:rPr>
        <w:t>13.11.2023</w:t>
      </w:r>
      <w:r w:rsidRPr="00286CDD">
        <w:rPr>
          <w:sz w:val="28"/>
          <w:szCs w:val="28"/>
          <w:lang w:val="ru-RU"/>
        </w:rPr>
        <w:t xml:space="preserve"> № </w:t>
      </w:r>
      <w:r w:rsidR="003C2281">
        <w:rPr>
          <w:sz w:val="28"/>
          <w:szCs w:val="28"/>
          <w:lang w:val="ru-RU"/>
        </w:rPr>
        <w:t>75/01-05</w:t>
      </w:r>
    </w:p>
    <w:p w14:paraId="158968C3" w14:textId="5384BCA2" w:rsidR="005E0C59" w:rsidRPr="00286CDD" w:rsidRDefault="005E0C59" w:rsidP="003C2281">
      <w:pPr>
        <w:widowControl w:val="0"/>
        <w:suppressAutoHyphens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 01.12.2023)</w:t>
      </w:r>
    </w:p>
    <w:p w14:paraId="0429405B" w14:textId="77777777" w:rsidR="00286CDD" w:rsidRPr="00286CDD" w:rsidRDefault="00286CDD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D9694E3" w14:textId="77777777" w:rsidR="00286CDD" w:rsidRDefault="00286CDD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54DA9A49" w14:textId="77777777" w:rsidR="00286CDD" w:rsidRDefault="00286CDD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615DC9D8" w14:textId="77777777" w:rsidR="00286CDD" w:rsidRDefault="00286CDD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66154FD0" w14:textId="77777777" w:rsidR="00286CDD" w:rsidRDefault="00286CDD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5AA3D16D" w14:textId="77777777" w:rsidR="00286CDD" w:rsidRDefault="00286CDD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59A62DE5" w14:textId="77777777" w:rsidR="00286CDD" w:rsidRDefault="00286CDD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573B883A" w14:textId="77777777" w:rsidR="00286CDD" w:rsidRDefault="00286CDD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62455859" w14:textId="77777777" w:rsidR="001D79FC" w:rsidRPr="00871BE3" w:rsidRDefault="001D79FC" w:rsidP="001D79FC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  <w:r w:rsidRPr="00871BE3">
        <w:rPr>
          <w:b/>
          <w:sz w:val="32"/>
          <w:szCs w:val="32"/>
          <w:lang w:val="ru-RU"/>
        </w:rPr>
        <w:t>КОНТРОЛЬНО-СЧЕТНАЯ ПАЛАТА МОСКВЫ</w:t>
      </w:r>
    </w:p>
    <w:p w14:paraId="195B3ECD" w14:textId="77777777" w:rsidR="001D79FC" w:rsidRPr="00C00B92" w:rsidRDefault="001D79FC" w:rsidP="001D79FC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5C850A99" w14:textId="77777777" w:rsidR="001D79FC" w:rsidRPr="00C00B92" w:rsidRDefault="001D79FC" w:rsidP="001D79FC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6F47E66" w14:textId="77777777" w:rsidR="001D79FC" w:rsidRPr="00C00B92" w:rsidRDefault="001D79FC" w:rsidP="001D79FC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1CA201B3" w14:textId="77777777" w:rsidR="001D79FC" w:rsidRPr="00C00B92" w:rsidRDefault="001D79FC" w:rsidP="001D79FC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22863E0A" w14:textId="77777777" w:rsidR="001D79FC" w:rsidRPr="00112873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1306BB82" w14:textId="6DCB5C32" w:rsidR="001D79FC" w:rsidRPr="00112873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r w:rsidRPr="00112873">
        <w:rPr>
          <w:b/>
          <w:sz w:val="28"/>
          <w:szCs w:val="28"/>
          <w:lang w:val="ru-RU"/>
        </w:rPr>
        <w:t>Методические рекомендации</w:t>
      </w:r>
      <w:r w:rsidRPr="00112873">
        <w:rPr>
          <w:b/>
          <w:sz w:val="28"/>
          <w:szCs w:val="28"/>
          <w:lang w:val="ru-RU"/>
        </w:rPr>
        <w:br/>
      </w:r>
      <w:r w:rsidRPr="00C8240C">
        <w:rPr>
          <w:b/>
          <w:sz w:val="28"/>
          <w:szCs w:val="28"/>
          <w:lang w:val="ru-RU"/>
        </w:rPr>
        <w:t xml:space="preserve">по </w:t>
      </w:r>
      <w:r>
        <w:rPr>
          <w:b/>
          <w:sz w:val="28"/>
          <w:szCs w:val="28"/>
          <w:lang w:val="ru-RU"/>
        </w:rPr>
        <w:t>анализу адресной инвестиционной программы города Москвы</w:t>
      </w:r>
    </w:p>
    <w:p w14:paraId="045434B6" w14:textId="77777777" w:rsidR="001D79FC" w:rsidRPr="00833138" w:rsidRDefault="001D79FC" w:rsidP="001D79FC">
      <w:pPr>
        <w:widowControl w:val="0"/>
        <w:suppressAutoHyphens/>
        <w:jc w:val="both"/>
        <w:rPr>
          <w:b/>
          <w:sz w:val="28"/>
          <w:szCs w:val="28"/>
          <w:lang w:val="ru-RU"/>
        </w:rPr>
      </w:pPr>
    </w:p>
    <w:p w14:paraId="2D76CC5C" w14:textId="77777777" w:rsidR="001D79FC" w:rsidRPr="00833138" w:rsidRDefault="001D79FC" w:rsidP="001D79FC">
      <w:pPr>
        <w:widowControl w:val="0"/>
        <w:suppressAutoHyphens/>
        <w:jc w:val="both"/>
        <w:rPr>
          <w:b/>
          <w:sz w:val="28"/>
          <w:szCs w:val="28"/>
          <w:lang w:val="ru-RU"/>
        </w:rPr>
      </w:pPr>
    </w:p>
    <w:p w14:paraId="418ABFA3" w14:textId="77777777" w:rsidR="001D79FC" w:rsidRPr="00833138" w:rsidRDefault="001D79FC" w:rsidP="001D79FC">
      <w:pPr>
        <w:widowControl w:val="0"/>
        <w:suppressAutoHyphens/>
        <w:jc w:val="both"/>
        <w:rPr>
          <w:b/>
          <w:sz w:val="28"/>
          <w:szCs w:val="28"/>
          <w:lang w:val="ru-RU"/>
        </w:rPr>
      </w:pPr>
    </w:p>
    <w:p w14:paraId="02E69E5E" w14:textId="77777777" w:rsidR="001D79FC" w:rsidRPr="00833138" w:rsidRDefault="001D79FC" w:rsidP="001D79FC">
      <w:pPr>
        <w:widowControl w:val="0"/>
        <w:suppressAutoHyphens/>
        <w:jc w:val="both"/>
        <w:rPr>
          <w:b/>
          <w:sz w:val="28"/>
          <w:szCs w:val="28"/>
          <w:lang w:val="ru-RU"/>
        </w:rPr>
      </w:pPr>
    </w:p>
    <w:p w14:paraId="645640EE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5C05E0EC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6892B53E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5F4000DC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56DE2FF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53AA19C4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FAB58D5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2B7BBB0C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44C382C4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1B7C7704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10EE97D1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2C42EBB8" w14:textId="77777777" w:rsidR="001D79FC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DFAB964" w14:textId="77777777" w:rsidR="00286CDD" w:rsidRDefault="00286CDD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56A71090" w14:textId="77777777" w:rsidR="00286CDD" w:rsidRDefault="00286CDD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623338FB" w14:textId="77777777" w:rsidR="00286CDD" w:rsidRDefault="00286CDD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621DD8C3" w14:textId="77777777" w:rsidR="00286CDD" w:rsidRDefault="00286CDD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1E59AD90" w14:textId="563803E8" w:rsidR="001D79FC" w:rsidRPr="003F1424" w:rsidRDefault="00286CDD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Москва, 2023</w:t>
      </w:r>
    </w:p>
    <w:p w14:paraId="71643E3B" w14:textId="77777777" w:rsidR="001D79FC" w:rsidRPr="003F1424" w:rsidRDefault="001D79FC" w:rsidP="001D79FC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46CCF1D0" w14:textId="77777777" w:rsidR="001D79FC" w:rsidRDefault="001D79FC" w:rsidP="001D79FC">
      <w:pPr>
        <w:rPr>
          <w:lang w:val="ru-RU"/>
        </w:rPr>
        <w:sectPr w:rsidR="001D79FC" w:rsidSect="001D7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en-US" w:eastAsia="en-US" w:bidi="en-US"/>
        </w:rPr>
        <w:id w:val="1585956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CE9682" w14:textId="77777777" w:rsidR="001D79FC" w:rsidRPr="00105E0F" w:rsidRDefault="001D79FC" w:rsidP="001D79FC">
          <w:pPr>
            <w:pStyle w:val="a9"/>
            <w:widowControl w:val="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105E0F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49A8FB42" w14:textId="50114773" w:rsidR="00D00014" w:rsidRDefault="001D79FC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80507" w:history="1">
            <w:r w:rsidR="00D00014" w:rsidRPr="00564EDF">
              <w:rPr>
                <w:rStyle w:val="a7"/>
              </w:rPr>
              <w:t>1. Общие положения</w:t>
            </w:r>
            <w:r w:rsidR="00D00014">
              <w:rPr>
                <w:webHidden/>
              </w:rPr>
              <w:tab/>
            </w:r>
            <w:r w:rsidR="00D00014">
              <w:rPr>
                <w:webHidden/>
              </w:rPr>
              <w:fldChar w:fldCharType="begin"/>
            </w:r>
            <w:r w:rsidR="00D00014">
              <w:rPr>
                <w:webHidden/>
              </w:rPr>
              <w:instrText xml:space="preserve"> PAGEREF _Toc130280507 \h </w:instrText>
            </w:r>
            <w:r w:rsidR="00D00014">
              <w:rPr>
                <w:webHidden/>
              </w:rPr>
            </w:r>
            <w:r w:rsidR="00D00014">
              <w:rPr>
                <w:webHidden/>
              </w:rPr>
              <w:fldChar w:fldCharType="separate"/>
            </w:r>
            <w:r w:rsidR="002658EF">
              <w:rPr>
                <w:webHidden/>
              </w:rPr>
              <w:t>3</w:t>
            </w:r>
            <w:r w:rsidR="00D00014">
              <w:rPr>
                <w:webHidden/>
              </w:rPr>
              <w:fldChar w:fldCharType="end"/>
            </w:r>
          </w:hyperlink>
        </w:p>
        <w:p w14:paraId="72BBEEE9" w14:textId="424720DD" w:rsidR="00D00014" w:rsidRDefault="005E0C59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280508" w:history="1">
            <w:r w:rsidR="00D00014" w:rsidRPr="00564EDF">
              <w:rPr>
                <w:rStyle w:val="a7"/>
              </w:rPr>
              <w:t xml:space="preserve">2. Информационная основа проведения анализа </w:t>
            </w:r>
            <w:r w:rsidR="003D44DB">
              <w:rPr>
                <w:rStyle w:val="a7"/>
              </w:rPr>
              <w:t>АИП</w:t>
            </w:r>
            <w:r w:rsidR="00D00014">
              <w:rPr>
                <w:webHidden/>
              </w:rPr>
              <w:tab/>
            </w:r>
            <w:r w:rsidR="00D00014">
              <w:rPr>
                <w:webHidden/>
              </w:rPr>
              <w:fldChar w:fldCharType="begin"/>
            </w:r>
            <w:r w:rsidR="00D00014">
              <w:rPr>
                <w:webHidden/>
              </w:rPr>
              <w:instrText xml:space="preserve"> PAGEREF _Toc130280508 \h </w:instrText>
            </w:r>
            <w:r w:rsidR="00D00014">
              <w:rPr>
                <w:webHidden/>
              </w:rPr>
            </w:r>
            <w:r w:rsidR="00D00014">
              <w:rPr>
                <w:webHidden/>
              </w:rPr>
              <w:fldChar w:fldCharType="separate"/>
            </w:r>
            <w:r w:rsidR="002658EF">
              <w:rPr>
                <w:webHidden/>
              </w:rPr>
              <w:t>3</w:t>
            </w:r>
            <w:r w:rsidR="00D00014">
              <w:rPr>
                <w:webHidden/>
              </w:rPr>
              <w:fldChar w:fldCharType="end"/>
            </w:r>
          </w:hyperlink>
        </w:p>
        <w:p w14:paraId="2EC95BFA" w14:textId="38DC2302" w:rsidR="00D00014" w:rsidRDefault="005E0C59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280509" w:history="1">
            <w:r w:rsidR="00D00014" w:rsidRPr="00564EDF">
              <w:rPr>
                <w:rStyle w:val="a7"/>
              </w:rPr>
              <w:t>3. Общий анализ АИП</w:t>
            </w:r>
            <w:r w:rsidR="00D00014">
              <w:rPr>
                <w:webHidden/>
              </w:rPr>
              <w:tab/>
            </w:r>
            <w:r w:rsidR="00D00014">
              <w:rPr>
                <w:webHidden/>
              </w:rPr>
              <w:fldChar w:fldCharType="begin"/>
            </w:r>
            <w:r w:rsidR="00D00014">
              <w:rPr>
                <w:webHidden/>
              </w:rPr>
              <w:instrText xml:space="preserve"> PAGEREF _Toc130280509 \h </w:instrText>
            </w:r>
            <w:r w:rsidR="00D00014">
              <w:rPr>
                <w:webHidden/>
              </w:rPr>
            </w:r>
            <w:r w:rsidR="00D00014">
              <w:rPr>
                <w:webHidden/>
              </w:rPr>
              <w:fldChar w:fldCharType="separate"/>
            </w:r>
            <w:r w:rsidR="002658EF">
              <w:rPr>
                <w:webHidden/>
              </w:rPr>
              <w:t>4</w:t>
            </w:r>
            <w:r w:rsidR="00D00014">
              <w:rPr>
                <w:webHidden/>
              </w:rPr>
              <w:fldChar w:fldCharType="end"/>
            </w:r>
          </w:hyperlink>
        </w:p>
        <w:p w14:paraId="7DDA5F0E" w14:textId="26A3FEBC" w:rsidR="00D00014" w:rsidRDefault="005E0C59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280510" w:history="1">
            <w:r w:rsidR="00D00014" w:rsidRPr="00564EDF">
              <w:rPr>
                <w:rStyle w:val="a7"/>
              </w:rPr>
              <w:t>4. Специальный анализ АИП</w:t>
            </w:r>
            <w:r w:rsidR="00D00014">
              <w:rPr>
                <w:webHidden/>
              </w:rPr>
              <w:tab/>
            </w:r>
            <w:r w:rsidR="00D00014">
              <w:rPr>
                <w:webHidden/>
              </w:rPr>
              <w:fldChar w:fldCharType="begin"/>
            </w:r>
            <w:r w:rsidR="00D00014">
              <w:rPr>
                <w:webHidden/>
              </w:rPr>
              <w:instrText xml:space="preserve"> PAGEREF _Toc130280510 \h </w:instrText>
            </w:r>
            <w:r w:rsidR="00D00014">
              <w:rPr>
                <w:webHidden/>
              </w:rPr>
            </w:r>
            <w:r w:rsidR="00D00014">
              <w:rPr>
                <w:webHidden/>
              </w:rPr>
              <w:fldChar w:fldCharType="separate"/>
            </w:r>
            <w:r w:rsidR="002658EF">
              <w:rPr>
                <w:webHidden/>
              </w:rPr>
              <w:t>6</w:t>
            </w:r>
            <w:r w:rsidR="00D00014">
              <w:rPr>
                <w:webHidden/>
              </w:rPr>
              <w:fldChar w:fldCharType="end"/>
            </w:r>
          </w:hyperlink>
        </w:p>
        <w:p w14:paraId="0FD159D9" w14:textId="7F6E686C" w:rsidR="001D79FC" w:rsidRDefault="001D79FC" w:rsidP="001D79FC">
          <w:pPr>
            <w:widowControl w:val="0"/>
          </w:pPr>
          <w:r>
            <w:rPr>
              <w:b/>
              <w:bCs/>
            </w:rPr>
            <w:fldChar w:fldCharType="end"/>
          </w:r>
        </w:p>
      </w:sdtContent>
    </w:sdt>
    <w:p w14:paraId="6D70A4D5" w14:textId="77777777" w:rsidR="001D79FC" w:rsidRDefault="001D79FC" w:rsidP="001D79FC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7625"/>
      </w:tblGrid>
      <w:tr w:rsidR="001D79FC" w:rsidRPr="003C2281" w14:paraId="3E74DBC4" w14:textId="77777777" w:rsidTr="00372E94">
        <w:tc>
          <w:tcPr>
            <w:tcW w:w="1730" w:type="dxa"/>
          </w:tcPr>
          <w:p w14:paraId="157078C4" w14:textId="77777777" w:rsidR="001D79FC" w:rsidRPr="00054B6E" w:rsidRDefault="001D79FC" w:rsidP="00372E94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  <w:r w:rsidRPr="00054B6E">
              <w:rPr>
                <w:sz w:val="28"/>
                <w:szCs w:val="28"/>
                <w:lang w:val="ru-RU" w:eastAsia="x-none" w:bidi="ar-SA"/>
              </w:rPr>
              <w:t>Приложение</w:t>
            </w:r>
          </w:p>
        </w:tc>
        <w:tc>
          <w:tcPr>
            <w:tcW w:w="7625" w:type="dxa"/>
          </w:tcPr>
          <w:p w14:paraId="16D5B492" w14:textId="72118334" w:rsidR="001D79FC" w:rsidRDefault="001D79FC" w:rsidP="00372E94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 w:rsidRPr="00483232">
              <w:rPr>
                <w:sz w:val="28"/>
                <w:szCs w:val="28"/>
                <w:lang w:val="ru-RU" w:eastAsia="x-none" w:bidi="ar-SA"/>
              </w:rPr>
              <w:t>1. </w:t>
            </w:r>
            <w:r w:rsidR="00A27938">
              <w:rPr>
                <w:sz w:val="28"/>
                <w:szCs w:val="28"/>
                <w:lang w:val="ru-RU" w:eastAsia="x-none" w:bidi="ar-SA"/>
              </w:rPr>
              <w:t xml:space="preserve">Основные нормативные правовые акты, </w:t>
            </w:r>
            <w:r w:rsidR="009629C6">
              <w:rPr>
                <w:sz w:val="28"/>
                <w:szCs w:val="28"/>
                <w:lang w:val="ru-RU" w:eastAsia="x-none" w:bidi="ar-SA"/>
              </w:rPr>
              <w:t>обеспечивающие реализацию</w:t>
            </w:r>
            <w:r w:rsidR="00A27938">
              <w:rPr>
                <w:sz w:val="28"/>
                <w:szCs w:val="28"/>
                <w:lang w:val="ru-RU" w:eastAsia="x-none" w:bidi="ar-SA"/>
              </w:rPr>
              <w:t xml:space="preserve"> АИП</w:t>
            </w:r>
            <w:r w:rsidR="000060A1">
              <w:rPr>
                <w:sz w:val="28"/>
                <w:szCs w:val="28"/>
                <w:lang w:val="ru-RU" w:eastAsia="x-none" w:bidi="ar-SA"/>
              </w:rPr>
              <w:t xml:space="preserve">, </w:t>
            </w:r>
            <w:r w:rsidR="000060A1" w:rsidRPr="009709D5">
              <w:rPr>
                <w:sz w:val="28"/>
                <w:szCs w:val="28"/>
                <w:lang w:val="ru-RU" w:eastAsia="x-none" w:bidi="ar-SA"/>
              </w:rPr>
              <w:t xml:space="preserve">на </w:t>
            </w:r>
            <w:r w:rsidR="009709D5" w:rsidRPr="009709D5">
              <w:rPr>
                <w:sz w:val="28"/>
                <w:szCs w:val="28"/>
                <w:lang w:val="ru-RU" w:eastAsia="x-none" w:bidi="ar-SA"/>
              </w:rPr>
              <w:t>1</w:t>
            </w:r>
            <w:r w:rsidR="000060A1" w:rsidRPr="009709D5">
              <w:rPr>
                <w:sz w:val="28"/>
                <w:szCs w:val="28"/>
                <w:lang w:val="ru-RU" w:eastAsia="x-none" w:bidi="ar-SA"/>
              </w:rPr>
              <w:t xml:space="preserve"> л.</w:t>
            </w:r>
            <w:r w:rsidR="000060A1">
              <w:rPr>
                <w:sz w:val="28"/>
                <w:szCs w:val="28"/>
                <w:lang w:val="ru-RU" w:eastAsia="x-none" w:bidi="ar-SA"/>
              </w:rPr>
              <w:t xml:space="preserve"> </w:t>
            </w:r>
          </w:p>
          <w:p w14:paraId="26C077A8" w14:textId="7EADE192" w:rsidR="002F6689" w:rsidRDefault="00437EAA" w:rsidP="00372E94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>
              <w:rPr>
                <w:sz w:val="28"/>
                <w:szCs w:val="28"/>
                <w:lang w:val="ru-RU" w:eastAsia="x-none" w:bidi="ar-SA"/>
              </w:rPr>
              <w:t>2. </w:t>
            </w:r>
            <w:r w:rsidR="002510FE">
              <w:rPr>
                <w:sz w:val="28"/>
                <w:szCs w:val="28"/>
                <w:lang w:val="ru-RU" w:eastAsia="x-none" w:bidi="ar-SA"/>
              </w:rPr>
              <w:t xml:space="preserve">Примерное содержание запросов в адрес государственных органов и </w:t>
            </w:r>
            <w:r w:rsidR="002510FE" w:rsidRPr="009709D5">
              <w:rPr>
                <w:sz w:val="28"/>
                <w:szCs w:val="28"/>
                <w:lang w:val="ru-RU" w:eastAsia="x-none" w:bidi="ar-SA"/>
              </w:rPr>
              <w:t>организаций</w:t>
            </w:r>
            <w:r w:rsidRPr="009709D5">
              <w:rPr>
                <w:sz w:val="28"/>
                <w:szCs w:val="28"/>
                <w:lang w:val="ru-RU" w:eastAsia="x-none" w:bidi="ar-SA"/>
              </w:rPr>
              <w:t xml:space="preserve"> на </w:t>
            </w:r>
            <w:r w:rsidR="009709D5" w:rsidRPr="009709D5">
              <w:rPr>
                <w:sz w:val="28"/>
                <w:szCs w:val="28"/>
                <w:lang w:val="ru-RU" w:eastAsia="x-none" w:bidi="ar-SA"/>
              </w:rPr>
              <w:t>3</w:t>
            </w:r>
            <w:r w:rsidRPr="009709D5">
              <w:rPr>
                <w:sz w:val="28"/>
                <w:szCs w:val="28"/>
                <w:lang w:val="ru-RU" w:eastAsia="x-none" w:bidi="ar-SA"/>
              </w:rPr>
              <w:t xml:space="preserve"> л.</w:t>
            </w:r>
          </w:p>
          <w:p w14:paraId="30F4BF8A" w14:textId="775FC096" w:rsidR="001D79FC" w:rsidRDefault="00361FC2" w:rsidP="00372E94">
            <w:pPr>
              <w:widowControl w:val="0"/>
              <w:jc w:val="both"/>
              <w:rPr>
                <w:sz w:val="28"/>
                <w:szCs w:val="28"/>
                <w:highlight w:val="yellow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3</w:t>
            </w:r>
            <w:r w:rsidR="001D79FC" w:rsidRPr="002F6689">
              <w:rPr>
                <w:sz w:val="28"/>
                <w:szCs w:val="28"/>
                <w:lang w:val="ru-RU" w:bidi="ar-SA"/>
              </w:rPr>
              <w:t>. </w:t>
            </w:r>
            <w:r w:rsidR="00AD62A9" w:rsidRPr="00AD62A9">
              <w:rPr>
                <w:sz w:val="28"/>
                <w:szCs w:val="28"/>
                <w:lang w:val="ru-RU" w:eastAsia="x-none" w:bidi="ar-SA"/>
              </w:rPr>
              <w:t xml:space="preserve">Примерная схема подготовки табличных материалов </w:t>
            </w:r>
            <w:r w:rsidR="00AD62A9">
              <w:rPr>
                <w:sz w:val="28"/>
                <w:szCs w:val="28"/>
                <w:lang w:val="ru-RU" w:eastAsia="x-none" w:bidi="ar-SA"/>
              </w:rPr>
              <w:br/>
            </w:r>
            <w:r w:rsidR="00AD62A9" w:rsidRPr="00AD62A9">
              <w:rPr>
                <w:sz w:val="28"/>
                <w:szCs w:val="28"/>
                <w:lang w:val="ru-RU" w:eastAsia="x-none" w:bidi="ar-SA"/>
              </w:rPr>
              <w:t>для анализа АИП</w:t>
            </w:r>
            <w:r w:rsidR="00AD62A9">
              <w:rPr>
                <w:sz w:val="28"/>
                <w:szCs w:val="28"/>
                <w:lang w:val="ru-RU" w:eastAsia="x-none" w:bidi="ar-SA"/>
              </w:rPr>
              <w:t xml:space="preserve"> </w:t>
            </w:r>
            <w:r w:rsidR="005B470F" w:rsidRPr="009709D5">
              <w:rPr>
                <w:sz w:val="28"/>
                <w:szCs w:val="28"/>
                <w:lang w:val="ru-RU" w:eastAsia="x-none" w:bidi="ar-SA"/>
              </w:rPr>
              <w:t xml:space="preserve">на </w:t>
            </w:r>
            <w:r w:rsidR="009709D5" w:rsidRPr="009709D5">
              <w:rPr>
                <w:sz w:val="28"/>
                <w:szCs w:val="28"/>
                <w:lang w:val="ru-RU" w:bidi="ar-SA"/>
              </w:rPr>
              <w:t xml:space="preserve">1 </w:t>
            </w:r>
            <w:r w:rsidR="005B470F" w:rsidRPr="009709D5">
              <w:rPr>
                <w:sz w:val="28"/>
                <w:szCs w:val="28"/>
                <w:lang w:val="ru-RU" w:bidi="ar-SA"/>
              </w:rPr>
              <w:t>л.</w:t>
            </w:r>
          </w:p>
          <w:p w14:paraId="1CBA9F10" w14:textId="50438BEE" w:rsidR="00361FC2" w:rsidRPr="003A5944" w:rsidRDefault="00361FC2" w:rsidP="003A5944">
            <w:pPr>
              <w:widowControl w:val="0"/>
              <w:jc w:val="both"/>
              <w:rPr>
                <w:sz w:val="28"/>
                <w:szCs w:val="28"/>
                <w:highlight w:val="yellow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4</w:t>
            </w:r>
            <w:r w:rsidRPr="00361FC2">
              <w:rPr>
                <w:sz w:val="28"/>
                <w:szCs w:val="28"/>
                <w:lang w:val="ru-RU" w:bidi="ar-SA"/>
              </w:rPr>
              <w:t>. </w:t>
            </w:r>
            <w:r w:rsidR="009B6B8B">
              <w:rPr>
                <w:sz w:val="28"/>
                <w:szCs w:val="28"/>
                <w:lang w:val="ru-RU" w:bidi="ar-SA"/>
              </w:rPr>
              <w:t>Перечень основных причин</w:t>
            </w:r>
            <w:r w:rsidRPr="00361FC2">
              <w:rPr>
                <w:sz w:val="28"/>
                <w:szCs w:val="28"/>
                <w:lang w:val="ru-RU" w:bidi="ar-SA"/>
              </w:rPr>
              <w:t xml:space="preserve"> увеличения стоимости объекта на </w:t>
            </w:r>
            <w:r w:rsidR="003205E1">
              <w:rPr>
                <w:sz w:val="28"/>
                <w:szCs w:val="28"/>
                <w:lang w:val="ru-RU" w:bidi="ar-SA"/>
              </w:rPr>
              <w:t xml:space="preserve">1 </w:t>
            </w:r>
            <w:r w:rsidRPr="003205E1">
              <w:rPr>
                <w:sz w:val="28"/>
                <w:szCs w:val="28"/>
                <w:lang w:val="ru-RU" w:bidi="ar-SA"/>
              </w:rPr>
              <w:t>л.</w:t>
            </w:r>
          </w:p>
        </w:tc>
      </w:tr>
    </w:tbl>
    <w:p w14:paraId="48028984" w14:textId="24626F7C" w:rsidR="00AC7C83" w:rsidRDefault="00AC7C83" w:rsidP="00AC7C83">
      <w:pPr>
        <w:rPr>
          <w:sz w:val="28"/>
          <w:lang w:val="ru-RU"/>
        </w:rPr>
      </w:pPr>
      <w:bookmarkStart w:id="1" w:name="_Toc375220229"/>
      <w:bookmarkStart w:id="2" w:name="_Toc18659911"/>
      <w:bookmarkStart w:id="3" w:name="_Toc130280507"/>
    </w:p>
    <w:p w14:paraId="6F5BBC6A" w14:textId="2D581C94" w:rsidR="00AC7C83" w:rsidRDefault="00AC7C83" w:rsidP="00AC7C83">
      <w:pPr>
        <w:rPr>
          <w:sz w:val="28"/>
          <w:lang w:val="ru-RU"/>
        </w:rPr>
      </w:pPr>
    </w:p>
    <w:p w14:paraId="284D2D2A" w14:textId="33CA5E1B" w:rsidR="00AC7C83" w:rsidRDefault="00AC7C83" w:rsidP="00AC7C83">
      <w:pPr>
        <w:rPr>
          <w:sz w:val="28"/>
          <w:lang w:val="ru-RU"/>
        </w:rPr>
      </w:pPr>
    </w:p>
    <w:p w14:paraId="7588EDF9" w14:textId="211E6431" w:rsidR="00AC7C83" w:rsidRDefault="00AC7C83" w:rsidP="00AC7C83">
      <w:pPr>
        <w:rPr>
          <w:sz w:val="28"/>
          <w:lang w:val="ru-RU"/>
        </w:rPr>
      </w:pPr>
    </w:p>
    <w:p w14:paraId="25F673A9" w14:textId="7ABFD549" w:rsidR="00AC7C83" w:rsidRDefault="00AC7C83" w:rsidP="00AC7C83">
      <w:pPr>
        <w:rPr>
          <w:sz w:val="28"/>
          <w:lang w:val="ru-RU"/>
        </w:rPr>
      </w:pPr>
    </w:p>
    <w:p w14:paraId="2C6648E2" w14:textId="6B06C736" w:rsidR="00AC7C83" w:rsidRDefault="00AC7C83" w:rsidP="00AC7C83">
      <w:pPr>
        <w:rPr>
          <w:sz w:val="28"/>
          <w:lang w:val="ru-RU"/>
        </w:rPr>
      </w:pPr>
    </w:p>
    <w:p w14:paraId="7E155CE6" w14:textId="1499CE2E" w:rsidR="00AC7C83" w:rsidRDefault="00AC7C83" w:rsidP="00AC7C83">
      <w:pPr>
        <w:rPr>
          <w:sz w:val="28"/>
          <w:lang w:val="ru-RU"/>
        </w:rPr>
      </w:pPr>
    </w:p>
    <w:p w14:paraId="6B878078" w14:textId="4858598E" w:rsidR="00AC7C83" w:rsidRDefault="00AC7C83" w:rsidP="00AC7C83">
      <w:pPr>
        <w:rPr>
          <w:sz w:val="28"/>
          <w:lang w:val="ru-RU"/>
        </w:rPr>
      </w:pPr>
    </w:p>
    <w:p w14:paraId="00706E0A" w14:textId="743A13C0" w:rsidR="00AC7C83" w:rsidRDefault="00AC7C83" w:rsidP="00AC7C83">
      <w:pPr>
        <w:rPr>
          <w:sz w:val="28"/>
          <w:lang w:val="ru-RU"/>
        </w:rPr>
      </w:pPr>
    </w:p>
    <w:p w14:paraId="7314ADB3" w14:textId="7B58A8A1" w:rsidR="00AC7C83" w:rsidRDefault="00AC7C83" w:rsidP="00AC7C83">
      <w:pPr>
        <w:rPr>
          <w:sz w:val="28"/>
          <w:lang w:val="ru-RU"/>
        </w:rPr>
      </w:pPr>
    </w:p>
    <w:p w14:paraId="134A2B64" w14:textId="1F6F5B65" w:rsidR="00AC7C83" w:rsidRDefault="00AC7C83" w:rsidP="00AC7C83">
      <w:pPr>
        <w:rPr>
          <w:sz w:val="28"/>
          <w:lang w:val="ru-RU"/>
        </w:rPr>
      </w:pPr>
    </w:p>
    <w:p w14:paraId="0E11F0C9" w14:textId="614F003F" w:rsidR="00AC7C83" w:rsidRDefault="00AC7C83" w:rsidP="00AC7C83">
      <w:pPr>
        <w:rPr>
          <w:sz w:val="28"/>
          <w:lang w:val="ru-RU"/>
        </w:rPr>
      </w:pPr>
    </w:p>
    <w:p w14:paraId="2EC957B1" w14:textId="7D35DCDE" w:rsidR="00AC7C83" w:rsidRDefault="00AC7C83" w:rsidP="00AC7C83">
      <w:pPr>
        <w:rPr>
          <w:sz w:val="28"/>
          <w:lang w:val="ru-RU"/>
        </w:rPr>
      </w:pPr>
    </w:p>
    <w:p w14:paraId="16671A00" w14:textId="0C5D3477" w:rsidR="00AC7C83" w:rsidRDefault="00AC7C83" w:rsidP="00AC7C83">
      <w:pPr>
        <w:rPr>
          <w:sz w:val="28"/>
          <w:lang w:val="ru-RU"/>
        </w:rPr>
      </w:pPr>
    </w:p>
    <w:p w14:paraId="6EB27120" w14:textId="4EAAC5CC" w:rsidR="00AC7C83" w:rsidRDefault="00AC7C83" w:rsidP="00AC7C83">
      <w:pPr>
        <w:rPr>
          <w:sz w:val="28"/>
          <w:lang w:val="ru-RU"/>
        </w:rPr>
      </w:pPr>
    </w:p>
    <w:p w14:paraId="0872EF9D" w14:textId="3C5F1EF8" w:rsidR="00AC7C83" w:rsidRDefault="00AC7C83" w:rsidP="00AC7C83">
      <w:pPr>
        <w:rPr>
          <w:sz w:val="28"/>
          <w:lang w:val="ru-RU"/>
        </w:rPr>
      </w:pPr>
    </w:p>
    <w:p w14:paraId="2833EE21" w14:textId="6B434040" w:rsidR="00AC7C83" w:rsidRDefault="00AC7C83" w:rsidP="00AC7C83">
      <w:pPr>
        <w:rPr>
          <w:sz w:val="28"/>
          <w:lang w:val="ru-RU"/>
        </w:rPr>
      </w:pPr>
    </w:p>
    <w:p w14:paraId="0E04D668" w14:textId="6AA210B2" w:rsidR="00AC7C83" w:rsidRDefault="00AC7C83" w:rsidP="00AC7C83">
      <w:pPr>
        <w:rPr>
          <w:sz w:val="28"/>
          <w:lang w:val="ru-RU"/>
        </w:rPr>
      </w:pPr>
    </w:p>
    <w:p w14:paraId="6667705A" w14:textId="294E17EB" w:rsidR="00AC7C83" w:rsidRDefault="00AC7C83" w:rsidP="00AC7C83">
      <w:pPr>
        <w:rPr>
          <w:sz w:val="28"/>
          <w:lang w:val="ru-RU"/>
        </w:rPr>
      </w:pPr>
    </w:p>
    <w:p w14:paraId="33F86970" w14:textId="5BF1CA13" w:rsidR="00AC7C83" w:rsidRDefault="00AC7C83" w:rsidP="00AC7C83">
      <w:pPr>
        <w:rPr>
          <w:sz w:val="28"/>
          <w:lang w:val="ru-RU"/>
        </w:rPr>
      </w:pPr>
    </w:p>
    <w:p w14:paraId="65E21351" w14:textId="4A5C0F97" w:rsidR="00AC7C83" w:rsidRDefault="00AC7C83" w:rsidP="00AC7C83">
      <w:pPr>
        <w:rPr>
          <w:sz w:val="28"/>
          <w:lang w:val="ru-RU"/>
        </w:rPr>
      </w:pPr>
    </w:p>
    <w:p w14:paraId="48CEDD6F" w14:textId="4311D366" w:rsidR="003A5944" w:rsidRDefault="003A5944" w:rsidP="00AC7C83">
      <w:pPr>
        <w:rPr>
          <w:sz w:val="28"/>
          <w:lang w:val="ru-RU"/>
        </w:rPr>
      </w:pPr>
    </w:p>
    <w:p w14:paraId="1DE7D55C" w14:textId="61F0F413" w:rsidR="003A5944" w:rsidRDefault="003A5944" w:rsidP="00AC7C83">
      <w:pPr>
        <w:rPr>
          <w:sz w:val="28"/>
          <w:lang w:val="ru-RU"/>
        </w:rPr>
      </w:pPr>
    </w:p>
    <w:p w14:paraId="73D06BF1" w14:textId="77777777" w:rsidR="003A5944" w:rsidRDefault="003A5944" w:rsidP="00AC7C83">
      <w:pPr>
        <w:rPr>
          <w:sz w:val="28"/>
          <w:lang w:val="ru-RU"/>
        </w:rPr>
      </w:pPr>
    </w:p>
    <w:p w14:paraId="3E2F4022" w14:textId="35BC1F76" w:rsidR="00AC7C83" w:rsidRDefault="00AC7C83" w:rsidP="00AC7C83">
      <w:pPr>
        <w:rPr>
          <w:sz w:val="28"/>
          <w:lang w:val="ru-RU"/>
        </w:rPr>
      </w:pPr>
    </w:p>
    <w:p w14:paraId="0D0FB3CF" w14:textId="2E71B9AF" w:rsidR="00AC7C83" w:rsidRDefault="00AC7C83" w:rsidP="00AC7C83">
      <w:pPr>
        <w:rPr>
          <w:sz w:val="28"/>
          <w:lang w:val="ru-RU"/>
        </w:rPr>
      </w:pPr>
    </w:p>
    <w:p w14:paraId="5BED2BDD" w14:textId="34B8AD74" w:rsidR="00AC7C83" w:rsidRDefault="00AC7C83" w:rsidP="00AC7C83">
      <w:pPr>
        <w:rPr>
          <w:sz w:val="28"/>
          <w:lang w:val="ru-RU"/>
        </w:rPr>
      </w:pPr>
    </w:p>
    <w:p w14:paraId="2BE311C2" w14:textId="412D186B" w:rsidR="00AC7C83" w:rsidRDefault="00AC7C83" w:rsidP="00AC7C83">
      <w:pPr>
        <w:rPr>
          <w:sz w:val="28"/>
          <w:lang w:val="ru-RU"/>
        </w:rPr>
      </w:pPr>
    </w:p>
    <w:p w14:paraId="7A0E8BA5" w14:textId="77777777" w:rsidR="00AC7C83" w:rsidRPr="00AC7C83" w:rsidRDefault="00AC7C83" w:rsidP="00AC7C83">
      <w:pPr>
        <w:rPr>
          <w:sz w:val="28"/>
          <w:lang w:val="ru-RU"/>
        </w:rPr>
      </w:pPr>
    </w:p>
    <w:p w14:paraId="3ABFF19D" w14:textId="05B33B9C" w:rsidR="001D79FC" w:rsidRPr="000060A1" w:rsidRDefault="001D79FC" w:rsidP="001D79F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0060A1">
        <w:rPr>
          <w:rFonts w:ascii="Times New Roman" w:hAnsi="Times New Roman" w:cs="Times New Roman"/>
          <w:b/>
          <w:color w:val="auto"/>
          <w:sz w:val="28"/>
          <w:lang w:val="ru-RU"/>
        </w:rPr>
        <w:lastRenderedPageBreak/>
        <w:t>1.</w:t>
      </w:r>
      <w:r w:rsidRPr="001D79FC">
        <w:rPr>
          <w:rFonts w:ascii="Times New Roman" w:hAnsi="Times New Roman" w:cs="Times New Roman"/>
          <w:b/>
          <w:color w:val="auto"/>
          <w:sz w:val="28"/>
        </w:rPr>
        <w:t> </w:t>
      </w:r>
      <w:r w:rsidRPr="000060A1">
        <w:rPr>
          <w:rFonts w:ascii="Times New Roman" w:hAnsi="Times New Roman" w:cs="Times New Roman"/>
          <w:b/>
          <w:color w:val="auto"/>
          <w:sz w:val="28"/>
          <w:lang w:val="ru-RU"/>
        </w:rPr>
        <w:t>Общие положения</w:t>
      </w:r>
      <w:bookmarkEnd w:id="1"/>
      <w:bookmarkEnd w:id="2"/>
      <w:bookmarkEnd w:id="3"/>
    </w:p>
    <w:p w14:paraId="70A4F36B" w14:textId="1483BA55" w:rsidR="001D79FC" w:rsidRPr="001D79FC" w:rsidRDefault="001D79FC" w:rsidP="001D79FC">
      <w:pPr>
        <w:ind w:firstLine="709"/>
        <w:jc w:val="both"/>
        <w:rPr>
          <w:sz w:val="28"/>
          <w:lang w:val="ru-RU"/>
        </w:rPr>
      </w:pPr>
      <w:r w:rsidRPr="001D79FC">
        <w:rPr>
          <w:sz w:val="28"/>
          <w:lang w:val="ru-RU"/>
        </w:rPr>
        <w:t xml:space="preserve">1.1. Методические рекомендации по </w:t>
      </w:r>
      <w:r>
        <w:rPr>
          <w:sz w:val="28"/>
          <w:lang w:val="ru-RU"/>
        </w:rPr>
        <w:t>анализу адресной инвестиционной программы города Москвы</w:t>
      </w:r>
      <w:r w:rsidRPr="001D79FC">
        <w:rPr>
          <w:sz w:val="28"/>
          <w:vertAlign w:val="superscript"/>
          <w:lang w:val="ru-RU"/>
        </w:rPr>
        <w:footnoteReference w:id="1"/>
      </w:r>
      <w:r w:rsidRPr="001D79FC">
        <w:rPr>
          <w:sz w:val="28"/>
          <w:lang w:val="ru-RU"/>
        </w:rPr>
        <w:t xml:space="preserve"> разработаны в соответствии с Законом города</w:t>
      </w:r>
      <w:r>
        <w:rPr>
          <w:sz w:val="28"/>
          <w:lang w:val="ru-RU"/>
        </w:rPr>
        <w:t> </w:t>
      </w:r>
      <w:r w:rsidRPr="001D79FC">
        <w:rPr>
          <w:sz w:val="28"/>
          <w:lang w:val="ru-RU"/>
        </w:rPr>
        <w:t>Москвы от 30.06.2010 № 30 «О Контрольно-счетной палате Москвы», Стандартом 1.1. «Методологическое обеспечение деятельности Контрольно-счетной палаты Москвы» и Планом методологического обеспечения деятельности КСП</w:t>
      </w:r>
      <w:r w:rsidR="00005479">
        <w:rPr>
          <w:sz w:val="28"/>
          <w:lang w:val="ru-RU"/>
        </w:rPr>
        <w:t xml:space="preserve"> </w:t>
      </w:r>
      <w:r w:rsidRPr="00E956E5">
        <w:rPr>
          <w:sz w:val="28"/>
          <w:lang w:val="ru-RU"/>
        </w:rPr>
        <w:t>Москвы на 202</w:t>
      </w:r>
      <w:r w:rsidR="0043711F">
        <w:rPr>
          <w:sz w:val="28"/>
          <w:lang w:val="ru-RU"/>
        </w:rPr>
        <w:t>3</w:t>
      </w:r>
      <w:r w:rsidRPr="00E956E5">
        <w:rPr>
          <w:sz w:val="28"/>
          <w:lang w:val="ru-RU"/>
        </w:rPr>
        <w:t>-2024 годы.</w:t>
      </w:r>
    </w:p>
    <w:p w14:paraId="031B327B" w14:textId="67D89CB7" w:rsidR="001D79FC" w:rsidRPr="00005479" w:rsidRDefault="001D79FC" w:rsidP="0043711F">
      <w:pPr>
        <w:ind w:firstLine="709"/>
        <w:jc w:val="both"/>
        <w:rPr>
          <w:sz w:val="28"/>
          <w:lang w:val="ru-RU"/>
        </w:rPr>
      </w:pPr>
      <w:r w:rsidRPr="001D79FC">
        <w:rPr>
          <w:sz w:val="28"/>
          <w:lang w:val="ru-RU"/>
        </w:rPr>
        <w:t xml:space="preserve">1.2. Сфера применения Методических рекомендаций – деятельность </w:t>
      </w:r>
      <w:r w:rsidRPr="00005479">
        <w:rPr>
          <w:sz w:val="28"/>
          <w:lang w:val="ru-RU"/>
        </w:rPr>
        <w:t>К</w:t>
      </w:r>
      <w:r w:rsidR="003D44DB">
        <w:rPr>
          <w:sz w:val="28"/>
          <w:lang w:val="ru-RU"/>
        </w:rPr>
        <w:t>онтрольно-счетной палаты</w:t>
      </w:r>
      <w:r w:rsidRPr="00005479">
        <w:rPr>
          <w:sz w:val="28"/>
          <w:lang w:val="ru-RU"/>
        </w:rPr>
        <w:t xml:space="preserve"> Москвы, связанная с анализом </w:t>
      </w:r>
      <w:r w:rsidR="00361FC2">
        <w:rPr>
          <w:sz w:val="28"/>
          <w:lang w:val="ru-RU"/>
        </w:rPr>
        <w:t>Адресной инвестиционной программы города Москвы (далее – АИП)</w:t>
      </w:r>
      <w:r w:rsidR="00005479" w:rsidRPr="00005479">
        <w:rPr>
          <w:sz w:val="28"/>
          <w:lang w:val="ru-RU"/>
        </w:rPr>
        <w:t xml:space="preserve">, осуществляемым при </w:t>
      </w:r>
      <w:r w:rsidR="0043711F">
        <w:rPr>
          <w:sz w:val="28"/>
          <w:lang w:val="ru-RU"/>
        </w:rPr>
        <w:t xml:space="preserve">планировании и </w:t>
      </w:r>
      <w:r w:rsidR="00005479" w:rsidRPr="00005479">
        <w:rPr>
          <w:sz w:val="28"/>
          <w:lang w:val="ru-RU"/>
        </w:rPr>
        <w:t>проведении ко</w:t>
      </w:r>
      <w:r w:rsidRPr="00005479">
        <w:rPr>
          <w:sz w:val="28"/>
          <w:lang w:val="ru-RU"/>
        </w:rPr>
        <w:t>нтрольных и экспертно-аналитических мероприятий</w:t>
      </w:r>
      <w:r w:rsidR="00D82CF3" w:rsidRPr="00005479">
        <w:rPr>
          <w:sz w:val="28"/>
          <w:lang w:val="ru-RU"/>
        </w:rPr>
        <w:t xml:space="preserve">, </w:t>
      </w:r>
      <w:r w:rsidR="00005479" w:rsidRPr="00005479">
        <w:rPr>
          <w:sz w:val="28"/>
          <w:lang w:val="ru-RU"/>
        </w:rPr>
        <w:t>в том числе</w:t>
      </w:r>
      <w:r w:rsidR="00D82CF3" w:rsidRPr="00005479">
        <w:rPr>
          <w:sz w:val="28"/>
          <w:lang w:val="ru-RU"/>
        </w:rPr>
        <w:t>:</w:t>
      </w:r>
    </w:p>
    <w:p w14:paraId="489D1369" w14:textId="6A4F74E0" w:rsidR="00005479" w:rsidRPr="00005479" w:rsidRDefault="00D82CF3" w:rsidP="00B41494">
      <w:pPr>
        <w:widowControl w:val="0"/>
        <w:ind w:firstLine="709"/>
        <w:jc w:val="both"/>
        <w:rPr>
          <w:sz w:val="28"/>
          <w:lang w:val="ru-RU"/>
        </w:rPr>
      </w:pPr>
      <w:r w:rsidRPr="00005479">
        <w:rPr>
          <w:sz w:val="28"/>
          <w:lang w:val="ru-RU"/>
        </w:rPr>
        <w:t>–</w:t>
      </w:r>
      <w:r w:rsidR="00005479" w:rsidRPr="00005479">
        <w:rPr>
          <w:sz w:val="28"/>
          <w:lang w:val="ru-RU"/>
        </w:rPr>
        <w:t> экспертиз проектов законов города Москвы об исполнении бюджета города Москвы за отчетный год и о бюджете города Москвы на очередной год и плановый период;</w:t>
      </w:r>
    </w:p>
    <w:p w14:paraId="184DC7A6" w14:textId="5B900AF4" w:rsidR="00005479" w:rsidRPr="00005479" w:rsidRDefault="00005479" w:rsidP="00B41494">
      <w:pPr>
        <w:widowControl w:val="0"/>
        <w:ind w:firstLine="709"/>
        <w:jc w:val="both"/>
        <w:rPr>
          <w:sz w:val="28"/>
          <w:lang w:val="ru-RU"/>
        </w:rPr>
      </w:pPr>
      <w:r w:rsidRPr="00005479">
        <w:rPr>
          <w:sz w:val="28"/>
          <w:lang w:val="ru-RU"/>
        </w:rPr>
        <w:t>– 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</w:r>
      <w:r w:rsidR="00C31A58">
        <w:rPr>
          <w:sz w:val="28"/>
          <w:lang w:val="ru-RU"/>
        </w:rPr>
        <w:t xml:space="preserve"> (ежеквартально)</w:t>
      </w:r>
      <w:r w:rsidRPr="00005479">
        <w:rPr>
          <w:sz w:val="28"/>
          <w:lang w:val="ru-RU"/>
        </w:rPr>
        <w:t>;</w:t>
      </w:r>
    </w:p>
    <w:p w14:paraId="454B3E61" w14:textId="77777777" w:rsidR="00005479" w:rsidRPr="00005479" w:rsidRDefault="00005479" w:rsidP="00B41494">
      <w:pPr>
        <w:widowControl w:val="0"/>
        <w:ind w:firstLine="709"/>
        <w:jc w:val="both"/>
        <w:rPr>
          <w:sz w:val="28"/>
          <w:lang w:val="ru-RU"/>
        </w:rPr>
      </w:pPr>
      <w:r w:rsidRPr="00005479">
        <w:rPr>
          <w:sz w:val="28"/>
          <w:lang w:val="ru-RU"/>
        </w:rPr>
        <w:t>– экспертиз проектов государственных программ города Москвы и их изменений;</w:t>
      </w:r>
    </w:p>
    <w:p w14:paraId="406C8686" w14:textId="59BB1545" w:rsidR="00D82CF3" w:rsidRPr="00005479" w:rsidRDefault="00005479" w:rsidP="00B41494">
      <w:pPr>
        <w:widowControl w:val="0"/>
        <w:ind w:firstLine="709"/>
        <w:jc w:val="both"/>
        <w:rPr>
          <w:sz w:val="28"/>
          <w:lang w:val="ru-RU"/>
        </w:rPr>
      </w:pPr>
      <w:r w:rsidRPr="00005479">
        <w:rPr>
          <w:sz w:val="28"/>
          <w:lang w:val="ru-RU"/>
        </w:rPr>
        <w:t xml:space="preserve">– тематических контрольных и экспертно-аналитических мероприятий. </w:t>
      </w:r>
    </w:p>
    <w:p w14:paraId="256870D8" w14:textId="2039FC6D" w:rsidR="00FA2233" w:rsidRDefault="001D79FC" w:rsidP="00B41494">
      <w:pPr>
        <w:widowControl w:val="0"/>
        <w:ind w:firstLine="709"/>
        <w:jc w:val="both"/>
        <w:rPr>
          <w:sz w:val="28"/>
          <w:lang w:val="ru-RU"/>
        </w:rPr>
      </w:pPr>
      <w:r w:rsidRPr="001D79FC">
        <w:rPr>
          <w:sz w:val="28"/>
          <w:lang w:val="ru-RU"/>
        </w:rPr>
        <w:t>1.3. </w:t>
      </w:r>
      <w:r w:rsidR="00FA2233" w:rsidRPr="001D79FC">
        <w:rPr>
          <w:sz w:val="28"/>
          <w:lang w:val="ru-RU"/>
        </w:rPr>
        <w:t xml:space="preserve">Основной целью разработки Методических рекомендаций является повышение </w:t>
      </w:r>
      <w:r w:rsidR="00FA2233" w:rsidRPr="00C31A58">
        <w:rPr>
          <w:sz w:val="28"/>
          <w:lang w:val="ru-RU"/>
        </w:rPr>
        <w:t xml:space="preserve">качества </w:t>
      </w:r>
      <w:r w:rsidR="00FA2233">
        <w:rPr>
          <w:sz w:val="28"/>
          <w:lang w:val="ru-RU"/>
        </w:rPr>
        <w:t>проведения</w:t>
      </w:r>
      <w:r w:rsidR="00FA2233" w:rsidRPr="00C31A58">
        <w:rPr>
          <w:sz w:val="28"/>
          <w:lang w:val="ru-RU"/>
        </w:rPr>
        <w:t xml:space="preserve"> анализа АИП</w:t>
      </w:r>
      <w:r w:rsidR="00FA2233">
        <w:rPr>
          <w:sz w:val="28"/>
          <w:lang w:val="ru-RU"/>
        </w:rPr>
        <w:t xml:space="preserve"> по отдельным</w:t>
      </w:r>
      <w:r w:rsidR="00990D7D">
        <w:rPr>
          <w:sz w:val="28"/>
          <w:lang w:val="ru-RU"/>
        </w:rPr>
        <w:t>,</w:t>
      </w:r>
      <w:r w:rsidR="00FA2233">
        <w:rPr>
          <w:sz w:val="28"/>
          <w:lang w:val="ru-RU"/>
        </w:rPr>
        <w:t xml:space="preserve"> наиболее востребованным направлениям, в том числе:</w:t>
      </w:r>
    </w:p>
    <w:p w14:paraId="1DC6398E" w14:textId="79089036" w:rsidR="00A578A5" w:rsidRDefault="00FA2233" w:rsidP="00B41494">
      <w:pPr>
        <w:widowControl w:val="0"/>
        <w:ind w:firstLine="709"/>
        <w:jc w:val="both"/>
        <w:rPr>
          <w:sz w:val="28"/>
          <w:lang w:val="ru-RU"/>
        </w:rPr>
      </w:pPr>
      <w:r w:rsidRPr="002307E2">
        <w:rPr>
          <w:sz w:val="28"/>
          <w:lang w:val="ru-RU"/>
        </w:rPr>
        <w:t>– </w:t>
      </w:r>
      <w:r w:rsidR="008F37FD" w:rsidRPr="002307E2">
        <w:rPr>
          <w:sz w:val="28"/>
          <w:lang w:val="ru-RU"/>
        </w:rPr>
        <w:t>общий анализ АИП</w:t>
      </w:r>
      <w:r w:rsidR="00183AE2" w:rsidRPr="002307E2">
        <w:rPr>
          <w:sz w:val="28"/>
          <w:lang w:val="ru-RU"/>
        </w:rPr>
        <w:t xml:space="preserve">, </w:t>
      </w:r>
      <w:r w:rsidR="00716D55">
        <w:rPr>
          <w:sz w:val="28"/>
          <w:lang w:val="ru-RU"/>
        </w:rPr>
        <w:t xml:space="preserve">который </w:t>
      </w:r>
      <w:r w:rsidR="00183AE2" w:rsidRPr="002307E2">
        <w:rPr>
          <w:sz w:val="28"/>
          <w:lang w:val="ru-RU"/>
        </w:rPr>
        <w:t>проводи</w:t>
      </w:r>
      <w:r w:rsidR="00716D55">
        <w:rPr>
          <w:sz w:val="28"/>
          <w:lang w:val="ru-RU"/>
        </w:rPr>
        <w:t>тся</w:t>
      </w:r>
      <w:r w:rsidR="00183AE2" w:rsidRPr="002307E2">
        <w:rPr>
          <w:sz w:val="28"/>
          <w:lang w:val="ru-RU"/>
        </w:rPr>
        <w:t xml:space="preserve"> в целях</w:t>
      </w:r>
      <w:r w:rsidR="00A578A5" w:rsidRPr="002307E2">
        <w:rPr>
          <w:sz w:val="28"/>
          <w:lang w:val="ru-RU"/>
        </w:rPr>
        <w:t xml:space="preserve"> формирования предложений по корректировке отдельных показателей АИП</w:t>
      </w:r>
      <w:r w:rsidR="002307E2">
        <w:rPr>
          <w:sz w:val="28"/>
          <w:lang w:val="ru-RU"/>
        </w:rPr>
        <w:t>;</w:t>
      </w:r>
    </w:p>
    <w:p w14:paraId="1785DD9E" w14:textId="372B96AA" w:rsidR="00716D55" w:rsidRDefault="002307E2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– специальный анализ АИП, </w:t>
      </w:r>
      <w:r w:rsidR="00716D55">
        <w:rPr>
          <w:sz w:val="28"/>
          <w:lang w:val="ru-RU"/>
        </w:rPr>
        <w:t>включающий анализ обоснованности объемов финансирования по отдельным объектам и иные контрольные процедуры, который проводится в целях формирования предложений о принятии управленческих решений по отдельным объектам в части законности и эффективности их реализации.</w:t>
      </w:r>
    </w:p>
    <w:p w14:paraId="791D6C35" w14:textId="468D7DF6" w:rsidR="00D00014" w:rsidRPr="00D00014" w:rsidRDefault="00086586" w:rsidP="00B41494">
      <w:pPr>
        <w:widowControl w:val="0"/>
        <w:ind w:firstLine="709"/>
        <w:jc w:val="both"/>
        <w:rPr>
          <w:bCs/>
          <w:sz w:val="28"/>
          <w:lang w:val="ru-RU"/>
        </w:rPr>
      </w:pPr>
      <w:r>
        <w:rPr>
          <w:sz w:val="28"/>
          <w:lang w:val="ru-RU"/>
        </w:rPr>
        <w:t xml:space="preserve">Методические рекомендации решают задачи по оказанию </w:t>
      </w:r>
      <w:r w:rsidRPr="00F875E6">
        <w:rPr>
          <w:bCs/>
          <w:sz w:val="28"/>
          <w:lang w:val="ru-RU"/>
        </w:rPr>
        <w:t xml:space="preserve">методической поддержки </w:t>
      </w:r>
      <w:r>
        <w:rPr>
          <w:bCs/>
          <w:sz w:val="28"/>
          <w:lang w:val="ru-RU"/>
        </w:rPr>
        <w:t>работникам</w:t>
      </w:r>
      <w:r w:rsidRPr="00F875E6">
        <w:rPr>
          <w:bCs/>
          <w:sz w:val="28"/>
          <w:lang w:val="ru-RU"/>
        </w:rPr>
        <w:t xml:space="preserve"> КСП Москвы </w:t>
      </w:r>
      <w:r>
        <w:rPr>
          <w:bCs/>
          <w:sz w:val="28"/>
          <w:lang w:val="ru-RU"/>
        </w:rPr>
        <w:t>при анализе АИП по указанным направлениям.</w:t>
      </w:r>
    </w:p>
    <w:p w14:paraId="43FE7CC1" w14:textId="113662E1" w:rsidR="001D79FC" w:rsidRDefault="001D79FC" w:rsidP="00B41494">
      <w:pPr>
        <w:widowControl w:val="0"/>
        <w:ind w:firstLine="709"/>
        <w:jc w:val="both"/>
        <w:rPr>
          <w:sz w:val="28"/>
          <w:lang w:val="ru-RU"/>
        </w:rPr>
      </w:pPr>
      <w:r w:rsidRPr="001D79FC">
        <w:rPr>
          <w:sz w:val="28"/>
          <w:lang w:val="ru-RU"/>
        </w:rPr>
        <w:t>1.</w:t>
      </w:r>
      <w:r w:rsidR="00C31A58">
        <w:rPr>
          <w:sz w:val="28"/>
          <w:lang w:val="ru-RU"/>
        </w:rPr>
        <w:t>4</w:t>
      </w:r>
      <w:r w:rsidRPr="001D79FC">
        <w:rPr>
          <w:sz w:val="28"/>
          <w:lang w:val="ru-RU"/>
        </w:rPr>
        <w:t xml:space="preserve">. Специальные понятия, применяемые </w:t>
      </w:r>
      <w:r w:rsidR="00990D7D">
        <w:rPr>
          <w:sz w:val="28"/>
          <w:lang w:val="ru-RU"/>
        </w:rPr>
        <w:t>в</w:t>
      </w:r>
      <w:r w:rsidRPr="001D79FC">
        <w:rPr>
          <w:sz w:val="28"/>
          <w:lang w:val="ru-RU"/>
        </w:rPr>
        <w:t xml:space="preserve"> текст</w:t>
      </w:r>
      <w:r w:rsidR="00990D7D">
        <w:rPr>
          <w:sz w:val="28"/>
          <w:lang w:val="ru-RU"/>
        </w:rPr>
        <w:t>е</w:t>
      </w:r>
      <w:r w:rsidRPr="001D79FC">
        <w:rPr>
          <w:sz w:val="28"/>
          <w:lang w:val="ru-RU"/>
        </w:rPr>
        <w:t xml:space="preserve"> Методических рекомендаций, </w:t>
      </w:r>
      <w:r w:rsidR="00C31A58">
        <w:rPr>
          <w:sz w:val="28"/>
          <w:lang w:val="ru-RU"/>
        </w:rPr>
        <w:t xml:space="preserve">используются </w:t>
      </w:r>
      <w:r w:rsidR="00C31A58" w:rsidRPr="003205E1">
        <w:rPr>
          <w:sz w:val="28"/>
          <w:lang w:val="ru-RU"/>
        </w:rPr>
        <w:t xml:space="preserve">в значениях, установленных </w:t>
      </w:r>
      <w:r w:rsidRPr="003205E1">
        <w:rPr>
          <w:sz w:val="28"/>
          <w:lang w:val="ru-RU"/>
        </w:rPr>
        <w:t>действующими нормативными правовыми акта</w:t>
      </w:r>
      <w:r w:rsidR="00C31A58" w:rsidRPr="003205E1">
        <w:rPr>
          <w:sz w:val="28"/>
          <w:lang w:val="ru-RU"/>
        </w:rPr>
        <w:t>ми</w:t>
      </w:r>
      <w:r w:rsidR="00A27938" w:rsidRPr="003205E1">
        <w:rPr>
          <w:sz w:val="28"/>
          <w:lang w:val="ru-RU"/>
        </w:rPr>
        <w:t xml:space="preserve"> (приложение 1</w:t>
      </w:r>
      <w:r w:rsidR="0043711F">
        <w:rPr>
          <w:sz w:val="28"/>
          <w:lang w:val="ru-RU"/>
        </w:rPr>
        <w:t xml:space="preserve"> к настоящим Методическим рекомендациям</w:t>
      </w:r>
      <w:r w:rsidR="00A27938" w:rsidRPr="003205E1">
        <w:rPr>
          <w:sz w:val="28"/>
          <w:lang w:val="ru-RU"/>
        </w:rPr>
        <w:t>).</w:t>
      </w:r>
    </w:p>
    <w:p w14:paraId="5F37DC50" w14:textId="7D0BDE3F" w:rsidR="002510FE" w:rsidRDefault="002510FE" w:rsidP="00B41494">
      <w:pPr>
        <w:widowControl w:val="0"/>
        <w:jc w:val="both"/>
        <w:rPr>
          <w:sz w:val="28"/>
          <w:lang w:val="ru-RU"/>
        </w:rPr>
      </w:pPr>
    </w:p>
    <w:p w14:paraId="1C7FD801" w14:textId="637C45A8" w:rsidR="002510FE" w:rsidRPr="00E9306A" w:rsidRDefault="002510FE" w:rsidP="00B41494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4" w:name="_Toc130280508"/>
      <w:r w:rsidRPr="00E9306A">
        <w:rPr>
          <w:rFonts w:ascii="Times New Roman" w:hAnsi="Times New Roman" w:cs="Times New Roman"/>
          <w:b/>
          <w:color w:val="auto"/>
          <w:sz w:val="28"/>
          <w:lang w:val="ru-RU"/>
        </w:rPr>
        <w:t>2. </w:t>
      </w:r>
      <w:r>
        <w:rPr>
          <w:rFonts w:ascii="Times New Roman" w:hAnsi="Times New Roman" w:cs="Times New Roman"/>
          <w:b/>
          <w:color w:val="auto"/>
          <w:sz w:val="28"/>
          <w:lang w:val="ru-RU"/>
        </w:rPr>
        <w:t>Информационная основа проведения анализа АИП</w:t>
      </w:r>
      <w:bookmarkEnd w:id="4"/>
    </w:p>
    <w:p w14:paraId="5659B5C9" w14:textId="01151EF9" w:rsidR="002510FE" w:rsidRPr="003C673E" w:rsidRDefault="008F37FD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2510FE" w:rsidRPr="003C673E">
        <w:rPr>
          <w:sz w:val="28"/>
          <w:lang w:val="ru-RU"/>
        </w:rPr>
        <w:t>.</w:t>
      </w:r>
      <w:r w:rsidR="002510FE">
        <w:rPr>
          <w:sz w:val="28"/>
          <w:lang w:val="ru-RU"/>
        </w:rPr>
        <w:t> </w:t>
      </w:r>
      <w:r w:rsidR="002510FE" w:rsidRPr="003C673E">
        <w:rPr>
          <w:sz w:val="28"/>
          <w:lang w:val="ru-RU"/>
        </w:rPr>
        <w:t>Основными источниками данных, используемых при проведении анализа АИП, являются:</w:t>
      </w:r>
    </w:p>
    <w:p w14:paraId="4A9FCF23" w14:textId="71058B6C" w:rsidR="002510FE" w:rsidRPr="003C673E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3C673E">
        <w:rPr>
          <w:sz w:val="28"/>
          <w:lang w:val="ru-RU"/>
        </w:rPr>
        <w:t>– информационн</w:t>
      </w:r>
      <w:r w:rsidR="0043711F">
        <w:rPr>
          <w:sz w:val="28"/>
          <w:lang w:val="ru-RU"/>
        </w:rPr>
        <w:t xml:space="preserve">ые </w:t>
      </w:r>
      <w:r w:rsidRPr="003C673E">
        <w:rPr>
          <w:sz w:val="28"/>
          <w:lang w:val="ru-RU"/>
        </w:rPr>
        <w:t>системы Российской Федерации и города Москвы;</w:t>
      </w:r>
    </w:p>
    <w:p w14:paraId="26B65F8F" w14:textId="77777777" w:rsidR="002510FE" w:rsidRPr="003C673E" w:rsidRDefault="002510FE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C673E">
        <w:rPr>
          <w:sz w:val="28"/>
          <w:lang w:val="ru-RU"/>
        </w:rPr>
        <w:lastRenderedPageBreak/>
        <w:t>– </w:t>
      </w:r>
      <w:r w:rsidRPr="003C673E">
        <w:rPr>
          <w:sz w:val="28"/>
          <w:szCs w:val="28"/>
          <w:lang w:val="ru-RU"/>
        </w:rPr>
        <w:t>официальные сайты государственных органов, в том числе органов государственной статистики;</w:t>
      </w:r>
    </w:p>
    <w:p w14:paraId="3D7CB68F" w14:textId="2DC1B29D" w:rsidR="002510FE" w:rsidRPr="003C673E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3C673E">
        <w:rPr>
          <w:sz w:val="28"/>
          <w:szCs w:val="28"/>
          <w:lang w:val="ru-RU"/>
        </w:rPr>
        <w:t>– результаты контрольных и экспертно-аналитических мероприятий, ранее проведенных КСП Москвы, а также другими контрольными и надзорными органами;</w:t>
      </w:r>
    </w:p>
    <w:p w14:paraId="74745BF8" w14:textId="701318F3" w:rsidR="002510FE" w:rsidRDefault="002510FE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C673E">
        <w:rPr>
          <w:sz w:val="28"/>
          <w:szCs w:val="28"/>
          <w:lang w:val="ru-RU"/>
        </w:rPr>
        <w:t>– ответы государственных органов и организаций на запросы КСП Москвы</w:t>
      </w:r>
      <w:r w:rsidR="001E51D5">
        <w:rPr>
          <w:sz w:val="28"/>
          <w:szCs w:val="28"/>
          <w:lang w:val="ru-RU"/>
        </w:rPr>
        <w:t>;</w:t>
      </w:r>
    </w:p>
    <w:p w14:paraId="27B1058F" w14:textId="47888E5A" w:rsidR="001E51D5" w:rsidRPr="003C673E" w:rsidRDefault="001E51D5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информация, содержащаяся в обращениях </w:t>
      </w:r>
      <w:r w:rsidRPr="001E51D5">
        <w:rPr>
          <w:sz w:val="28"/>
          <w:szCs w:val="28"/>
          <w:lang w:val="ru-RU"/>
        </w:rPr>
        <w:t>физических и юридических лиц, депутатов Московской городской Думы, государственных органов</w:t>
      </w:r>
      <w:r>
        <w:rPr>
          <w:sz w:val="28"/>
          <w:szCs w:val="28"/>
          <w:lang w:val="ru-RU"/>
        </w:rPr>
        <w:t>, иных лиц, органов и организаций.</w:t>
      </w:r>
    </w:p>
    <w:p w14:paraId="2EF938FF" w14:textId="2C86FD5A" w:rsidR="002510FE" w:rsidRPr="003C673E" w:rsidRDefault="002510FE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F37F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Pr="003C673E">
        <w:rPr>
          <w:sz w:val="28"/>
          <w:szCs w:val="28"/>
          <w:lang w:val="ru-RU"/>
        </w:rPr>
        <w:t> К</w:t>
      </w:r>
      <w:r w:rsidR="001E51D5">
        <w:rPr>
          <w:sz w:val="28"/>
          <w:szCs w:val="28"/>
          <w:lang w:val="ru-RU"/>
        </w:rPr>
        <w:t xml:space="preserve"> основным</w:t>
      </w:r>
      <w:r w:rsidRPr="003C673E">
        <w:rPr>
          <w:sz w:val="28"/>
          <w:szCs w:val="28"/>
          <w:lang w:val="ru-RU"/>
        </w:rPr>
        <w:t xml:space="preserve"> </w:t>
      </w:r>
      <w:r w:rsidR="008F37FD">
        <w:rPr>
          <w:sz w:val="28"/>
          <w:szCs w:val="28"/>
          <w:lang w:val="ru-RU"/>
        </w:rPr>
        <w:t>используемы</w:t>
      </w:r>
      <w:r w:rsidR="001E51D5">
        <w:rPr>
          <w:sz w:val="28"/>
          <w:szCs w:val="28"/>
          <w:lang w:val="ru-RU"/>
        </w:rPr>
        <w:t>м</w:t>
      </w:r>
      <w:r w:rsidRPr="003C673E">
        <w:rPr>
          <w:sz w:val="28"/>
          <w:szCs w:val="28"/>
          <w:lang w:val="ru-RU"/>
        </w:rPr>
        <w:t xml:space="preserve"> информационно-аналитически</w:t>
      </w:r>
      <w:r w:rsidR="001E51D5">
        <w:rPr>
          <w:sz w:val="28"/>
          <w:szCs w:val="28"/>
          <w:lang w:val="ru-RU"/>
        </w:rPr>
        <w:t>м</w:t>
      </w:r>
      <w:r w:rsidRPr="003C673E">
        <w:rPr>
          <w:sz w:val="28"/>
          <w:szCs w:val="28"/>
          <w:lang w:val="ru-RU"/>
        </w:rPr>
        <w:t xml:space="preserve"> систем</w:t>
      </w:r>
      <w:r w:rsidR="001E51D5">
        <w:rPr>
          <w:sz w:val="28"/>
          <w:szCs w:val="28"/>
          <w:lang w:val="ru-RU"/>
        </w:rPr>
        <w:t>ам</w:t>
      </w:r>
      <w:r w:rsidRPr="003C673E">
        <w:rPr>
          <w:sz w:val="28"/>
          <w:szCs w:val="28"/>
          <w:lang w:val="ru-RU"/>
        </w:rPr>
        <w:t xml:space="preserve"> относятся:</w:t>
      </w:r>
    </w:p>
    <w:p w14:paraId="144F1EE2" w14:textId="2C2A76F0" w:rsidR="001E51D5" w:rsidRDefault="001E51D5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C673E">
        <w:rPr>
          <w:sz w:val="28"/>
          <w:szCs w:val="28"/>
          <w:lang w:val="ru-RU"/>
        </w:rPr>
        <w:t>– </w:t>
      </w:r>
      <w:r>
        <w:rPr>
          <w:sz w:val="28"/>
          <w:lang w:val="ru-RU"/>
        </w:rPr>
        <w:t>И</w:t>
      </w:r>
      <w:r w:rsidRPr="003C673E">
        <w:rPr>
          <w:sz w:val="28"/>
          <w:szCs w:val="28"/>
          <w:lang w:val="ru-RU"/>
        </w:rPr>
        <w:t>нформационно-аналитическая система КСП</w:t>
      </w:r>
      <w:r>
        <w:rPr>
          <w:sz w:val="28"/>
          <w:szCs w:val="28"/>
          <w:lang w:val="ru-RU"/>
        </w:rPr>
        <w:t xml:space="preserve"> </w:t>
      </w:r>
      <w:r w:rsidRPr="003C673E">
        <w:rPr>
          <w:sz w:val="28"/>
          <w:szCs w:val="28"/>
          <w:lang w:val="ru-RU"/>
        </w:rPr>
        <w:t>Москвы (ИАС КСП-М)</w:t>
      </w:r>
      <w:r w:rsidR="00BD4BBA">
        <w:rPr>
          <w:sz w:val="28"/>
          <w:szCs w:val="28"/>
          <w:lang w:val="ru-RU"/>
        </w:rPr>
        <w:t>, в том числе специально разработанные дашборды в подсистеме «Цифровая аналитика»</w:t>
      </w:r>
      <w:r w:rsidR="00BD4BBA">
        <w:rPr>
          <w:rStyle w:val="ac"/>
          <w:sz w:val="28"/>
          <w:szCs w:val="28"/>
          <w:lang w:val="ru-RU"/>
        </w:rPr>
        <w:footnoteReference w:id="2"/>
      </w:r>
      <w:r w:rsidRPr="003C673E">
        <w:rPr>
          <w:sz w:val="28"/>
          <w:szCs w:val="28"/>
          <w:lang w:val="ru-RU"/>
        </w:rPr>
        <w:t>;</w:t>
      </w:r>
    </w:p>
    <w:p w14:paraId="75DE4AB2" w14:textId="72C2EA9F" w:rsidR="00D7175E" w:rsidRDefault="00D7175E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Единая цифровая платформа Правительства Москвы (</w:t>
      </w:r>
      <w:r w:rsidRPr="00D7175E">
        <w:rPr>
          <w:i/>
          <w:sz w:val="28"/>
          <w:szCs w:val="28"/>
          <w:lang w:val="ru-RU"/>
        </w:rPr>
        <w:t>https://smart.mos.ru/</w:t>
      </w:r>
      <w:r w:rsidRPr="00BD4BBA"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</w:p>
    <w:p w14:paraId="2A0C6AE0" w14:textId="49A6ABEA" w:rsidR="002510FE" w:rsidRPr="00D7175E" w:rsidRDefault="002510FE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Pr="002510FE">
        <w:rPr>
          <w:sz w:val="28"/>
          <w:szCs w:val="28"/>
          <w:lang w:val="ru-RU"/>
        </w:rPr>
        <w:t>Информационно</w:t>
      </w:r>
      <w:r w:rsidRPr="002510FE">
        <w:rPr>
          <w:sz w:val="28"/>
          <w:lang w:val="ru-RU"/>
        </w:rPr>
        <w:t>-аналитическая система управления градостроительной деятельностью</w:t>
      </w:r>
      <w:r w:rsidR="00D7175E">
        <w:rPr>
          <w:sz w:val="28"/>
          <w:lang w:val="ru-RU"/>
        </w:rPr>
        <w:t xml:space="preserve"> </w:t>
      </w:r>
      <w:r w:rsidR="00D7175E" w:rsidRPr="00BD4BBA">
        <w:rPr>
          <w:i/>
          <w:sz w:val="28"/>
          <w:lang w:val="ru-RU"/>
        </w:rPr>
        <w:t>(https://ugd.mos.ru/)</w:t>
      </w:r>
      <w:r w:rsidR="00D7175E">
        <w:rPr>
          <w:sz w:val="28"/>
          <w:lang w:val="ru-RU"/>
        </w:rPr>
        <w:t>;</w:t>
      </w:r>
    </w:p>
    <w:p w14:paraId="7146A2F4" w14:textId="7B0B7322" w:rsidR="002510FE" w:rsidRPr="00BD4BBA" w:rsidRDefault="002510FE" w:rsidP="00B41494">
      <w:pPr>
        <w:widowControl w:val="0"/>
        <w:ind w:firstLine="709"/>
        <w:jc w:val="both"/>
        <w:rPr>
          <w:i/>
          <w:sz w:val="28"/>
          <w:lang w:val="ru-RU"/>
        </w:rPr>
      </w:pPr>
      <w:r>
        <w:rPr>
          <w:sz w:val="28"/>
          <w:szCs w:val="28"/>
          <w:lang w:val="ru-RU"/>
        </w:rPr>
        <w:t>– </w:t>
      </w:r>
      <w:r w:rsidRPr="002510FE">
        <w:rPr>
          <w:sz w:val="28"/>
          <w:szCs w:val="28"/>
          <w:lang w:val="ru-RU"/>
        </w:rPr>
        <w:t>Единая</w:t>
      </w:r>
      <w:r w:rsidRPr="002510FE">
        <w:rPr>
          <w:sz w:val="28"/>
          <w:lang w:val="ru-RU"/>
        </w:rPr>
        <w:t xml:space="preserve"> информационная система «МОСГОРЗАКАЗ»</w:t>
      </w:r>
      <w:r w:rsidR="00D7175E" w:rsidRPr="00D7175E">
        <w:rPr>
          <w:lang w:val="ru-RU"/>
        </w:rPr>
        <w:t xml:space="preserve"> </w:t>
      </w:r>
      <w:r w:rsidR="00BD4BBA" w:rsidRPr="00BD4BBA">
        <w:rPr>
          <w:i/>
          <w:lang w:val="ru-RU"/>
        </w:rPr>
        <w:t>(</w:t>
      </w:r>
      <w:r w:rsidR="00D7175E" w:rsidRPr="00BD4BBA">
        <w:rPr>
          <w:i/>
          <w:sz w:val="28"/>
          <w:lang w:val="ru-RU"/>
        </w:rPr>
        <w:t>https://mgz.mos.ru/</w:t>
      </w:r>
      <w:r w:rsidR="00BD4BBA" w:rsidRPr="00BD4BBA">
        <w:rPr>
          <w:i/>
          <w:sz w:val="28"/>
          <w:lang w:val="ru-RU"/>
        </w:rPr>
        <w:t>)</w:t>
      </w:r>
      <w:r w:rsidR="006535DC" w:rsidRPr="00BD4BBA">
        <w:rPr>
          <w:sz w:val="28"/>
          <w:lang w:val="ru-RU"/>
        </w:rPr>
        <w:t>;</w:t>
      </w:r>
    </w:p>
    <w:p w14:paraId="418D3C1E" w14:textId="1A1A08D4" w:rsidR="006535DC" w:rsidRPr="002510FE" w:rsidRDefault="006535DC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Информационно-аналитическая система мониторинга комплексного развития города Москвы</w:t>
      </w:r>
      <w:r w:rsidR="00BD4BBA" w:rsidRPr="00BD4BBA">
        <w:rPr>
          <w:lang w:val="ru-RU"/>
        </w:rPr>
        <w:t xml:space="preserve"> </w:t>
      </w:r>
      <w:r w:rsidR="00BD4BBA" w:rsidRPr="00BD4BBA">
        <w:rPr>
          <w:i/>
          <w:lang w:val="ru-RU"/>
        </w:rPr>
        <w:t>(</w:t>
      </w:r>
      <w:r w:rsidR="00BD4BBA" w:rsidRPr="00BD4BBA">
        <w:rPr>
          <w:i/>
          <w:sz w:val="28"/>
          <w:szCs w:val="28"/>
          <w:lang w:val="ru-RU"/>
        </w:rPr>
        <w:t>https://gp.mos.ru/)</w:t>
      </w:r>
      <w:r>
        <w:rPr>
          <w:sz w:val="28"/>
          <w:szCs w:val="28"/>
          <w:lang w:val="ru-RU"/>
        </w:rPr>
        <w:t>;</w:t>
      </w:r>
    </w:p>
    <w:p w14:paraId="4A2819F5" w14:textId="2B955678" w:rsidR="002510FE" w:rsidRPr="00BD4BBA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2510FE">
        <w:rPr>
          <w:sz w:val="28"/>
          <w:lang w:val="ru-RU"/>
        </w:rPr>
        <w:t>– Система автоматизации формирования Адресной инвестиционной программы города Москвы «Строительные инвестиции»</w:t>
      </w:r>
      <w:r w:rsidR="00BD4BBA" w:rsidRPr="00BD4BBA">
        <w:rPr>
          <w:lang w:val="ru-RU"/>
        </w:rPr>
        <w:t xml:space="preserve"> </w:t>
      </w:r>
      <w:r w:rsidR="00BD4BBA" w:rsidRPr="00BD4BBA">
        <w:rPr>
          <w:i/>
          <w:lang w:val="ru-RU"/>
        </w:rPr>
        <w:t>(</w:t>
      </w:r>
      <w:r w:rsidR="00BD4BBA" w:rsidRPr="00BD4BBA">
        <w:rPr>
          <w:i/>
          <w:sz w:val="28"/>
          <w:lang w:val="ru-RU"/>
        </w:rPr>
        <w:t>https://aip.mos.ru/login)</w:t>
      </w:r>
      <w:r w:rsidR="00BD4BBA">
        <w:rPr>
          <w:sz w:val="28"/>
          <w:lang w:val="ru-RU"/>
        </w:rPr>
        <w:t>;</w:t>
      </w:r>
    </w:p>
    <w:p w14:paraId="50DE53E4" w14:textId="285A8147" w:rsidR="002510FE" w:rsidRPr="00BD4BBA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2510FE">
        <w:rPr>
          <w:sz w:val="28"/>
          <w:lang w:val="ru-RU"/>
        </w:rPr>
        <w:t>– Единая автоматизированная информационная система торгов города Москвы</w:t>
      </w:r>
      <w:r w:rsidR="00BD4BBA" w:rsidRPr="00BD4BBA">
        <w:rPr>
          <w:lang w:val="ru-RU"/>
        </w:rPr>
        <w:t xml:space="preserve"> </w:t>
      </w:r>
      <w:r w:rsidR="00BD4BBA" w:rsidRPr="00BD4BBA">
        <w:rPr>
          <w:i/>
          <w:lang w:val="ru-RU"/>
        </w:rPr>
        <w:t>(</w:t>
      </w:r>
      <w:r w:rsidR="00BD4BBA" w:rsidRPr="00BD4BBA">
        <w:rPr>
          <w:i/>
          <w:sz w:val="28"/>
          <w:lang w:val="ru-RU"/>
        </w:rPr>
        <w:t>https://eaist.mos.ru/)</w:t>
      </w:r>
      <w:r w:rsidR="00BD4BBA">
        <w:rPr>
          <w:sz w:val="28"/>
          <w:lang w:val="ru-RU"/>
        </w:rPr>
        <w:t>;</w:t>
      </w:r>
    </w:p>
    <w:p w14:paraId="07EAAB4B" w14:textId="62722205" w:rsidR="002510FE" w:rsidRPr="002510FE" w:rsidRDefault="002510FE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510FE">
        <w:rPr>
          <w:sz w:val="28"/>
          <w:szCs w:val="28"/>
          <w:lang w:val="ru-RU"/>
        </w:rPr>
        <w:t>– Единая информационная система в сфере закупок</w:t>
      </w:r>
      <w:r w:rsidR="00BD4BBA" w:rsidRPr="00BD4BBA">
        <w:rPr>
          <w:sz w:val="28"/>
          <w:szCs w:val="28"/>
          <w:lang w:val="ru-RU"/>
        </w:rPr>
        <w:t xml:space="preserve"> </w:t>
      </w:r>
      <w:r w:rsidRPr="00BD4BBA">
        <w:rPr>
          <w:i/>
          <w:sz w:val="28"/>
          <w:szCs w:val="28"/>
          <w:lang w:val="ru-RU"/>
        </w:rPr>
        <w:t>(</w:t>
      </w:r>
      <w:r w:rsidR="00BD4BBA" w:rsidRPr="00BD4BBA">
        <w:rPr>
          <w:i/>
          <w:sz w:val="28"/>
          <w:szCs w:val="28"/>
          <w:lang w:val="ru-RU"/>
        </w:rPr>
        <w:t>https://zakupki.gov.ru/</w:t>
      </w:r>
      <w:r w:rsidRPr="00BD4BBA">
        <w:rPr>
          <w:i/>
          <w:sz w:val="28"/>
          <w:szCs w:val="28"/>
          <w:lang w:val="ru-RU"/>
        </w:rPr>
        <w:t>)</w:t>
      </w:r>
      <w:r w:rsidRPr="002510FE">
        <w:rPr>
          <w:sz w:val="28"/>
          <w:szCs w:val="28"/>
          <w:lang w:val="ru-RU"/>
        </w:rPr>
        <w:t>;</w:t>
      </w:r>
    </w:p>
    <w:p w14:paraId="2AFC212E" w14:textId="59D90C3F" w:rsidR="00BC69C5" w:rsidRDefault="002510FE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510FE">
        <w:rPr>
          <w:sz w:val="28"/>
          <w:lang w:val="ru-RU"/>
        </w:rPr>
        <w:t>– </w:t>
      </w:r>
      <w:r w:rsidRPr="002510FE">
        <w:rPr>
          <w:sz w:val="28"/>
          <w:szCs w:val="28"/>
          <w:lang w:val="ru-RU"/>
        </w:rPr>
        <w:t>Автоматизированная система управления городскими финансами</w:t>
      </w:r>
      <w:r w:rsidR="001E51D5">
        <w:rPr>
          <w:sz w:val="28"/>
          <w:szCs w:val="28"/>
          <w:lang w:val="ru-RU"/>
        </w:rPr>
        <w:t xml:space="preserve"> города Москвы</w:t>
      </w:r>
      <w:r w:rsidR="00BD4BBA" w:rsidRPr="00BD4BBA">
        <w:rPr>
          <w:lang w:val="ru-RU"/>
        </w:rPr>
        <w:t xml:space="preserve"> </w:t>
      </w:r>
      <w:r w:rsidR="00BD4BBA" w:rsidRPr="00BD4BBA">
        <w:rPr>
          <w:i/>
          <w:lang w:val="ru-RU"/>
        </w:rPr>
        <w:t>(</w:t>
      </w:r>
      <w:r w:rsidR="00BD4BBA" w:rsidRPr="00BD4BBA">
        <w:rPr>
          <w:i/>
          <w:sz w:val="28"/>
          <w:szCs w:val="28"/>
          <w:lang w:val="ru-RU"/>
        </w:rPr>
        <w:t>https://asugf.mos.ru/)</w:t>
      </w:r>
      <w:r w:rsidR="00BC69C5">
        <w:rPr>
          <w:sz w:val="28"/>
          <w:szCs w:val="28"/>
          <w:lang w:val="ru-RU"/>
        </w:rPr>
        <w:t>;</w:t>
      </w:r>
    </w:p>
    <w:p w14:paraId="76B7C3A5" w14:textId="7E655C82" w:rsidR="00BC69C5" w:rsidRDefault="00BC69C5" w:rsidP="00B4149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Портал открытых данных Правительства Москвы </w:t>
      </w:r>
      <w:r w:rsidRPr="002763E9">
        <w:rPr>
          <w:i/>
          <w:sz w:val="28"/>
          <w:szCs w:val="28"/>
          <w:lang w:val="ru-RU"/>
        </w:rPr>
        <w:t>(https://data.mos.ru/)</w:t>
      </w:r>
      <w:r>
        <w:rPr>
          <w:sz w:val="28"/>
          <w:szCs w:val="28"/>
          <w:lang w:val="ru-RU"/>
        </w:rPr>
        <w:t>.</w:t>
      </w:r>
    </w:p>
    <w:p w14:paraId="7D0B5579" w14:textId="408D6895" w:rsidR="002510FE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2.</w:t>
      </w:r>
      <w:r w:rsidR="002313B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Pr="003C673E">
        <w:rPr>
          <w:sz w:val="28"/>
          <w:szCs w:val="28"/>
          <w:lang w:val="ru-RU"/>
        </w:rPr>
        <w:t xml:space="preserve"> Примерное содержание запросов в адрес государственных органов и организаций </w:t>
      </w:r>
      <w:r w:rsidRPr="003205E1">
        <w:rPr>
          <w:sz w:val="28"/>
          <w:szCs w:val="28"/>
          <w:lang w:val="ru-RU"/>
        </w:rPr>
        <w:t>приведено в приложении 2</w:t>
      </w:r>
      <w:r w:rsidR="0043711F">
        <w:rPr>
          <w:sz w:val="28"/>
          <w:szCs w:val="28"/>
          <w:lang w:val="ru-RU"/>
        </w:rPr>
        <w:t xml:space="preserve"> к настоящим Методическим рекомендациям</w:t>
      </w:r>
      <w:r w:rsidRPr="003205E1">
        <w:rPr>
          <w:sz w:val="28"/>
          <w:szCs w:val="28"/>
          <w:lang w:val="ru-RU"/>
        </w:rPr>
        <w:t>.</w:t>
      </w:r>
    </w:p>
    <w:p w14:paraId="4D0DA4D5" w14:textId="7304AABF" w:rsidR="002C6F1A" w:rsidRDefault="002C6F1A" w:rsidP="00B41494">
      <w:pPr>
        <w:widowControl w:val="0"/>
        <w:ind w:firstLine="709"/>
        <w:jc w:val="both"/>
        <w:rPr>
          <w:sz w:val="28"/>
          <w:lang w:val="ru-RU"/>
        </w:rPr>
      </w:pPr>
    </w:p>
    <w:p w14:paraId="422363DB" w14:textId="7431AE80" w:rsidR="00480A03" w:rsidRPr="00E9306A" w:rsidRDefault="002510FE" w:rsidP="00B41494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5" w:name="_Toc130280509"/>
      <w:r>
        <w:rPr>
          <w:rFonts w:ascii="Times New Roman" w:hAnsi="Times New Roman" w:cs="Times New Roman"/>
          <w:b/>
          <w:color w:val="auto"/>
          <w:sz w:val="28"/>
          <w:lang w:val="ru-RU"/>
        </w:rPr>
        <w:t>3</w:t>
      </w:r>
      <w:r w:rsidR="00086586" w:rsidRPr="00E9306A">
        <w:rPr>
          <w:rFonts w:ascii="Times New Roman" w:hAnsi="Times New Roman" w:cs="Times New Roman"/>
          <w:b/>
          <w:color w:val="auto"/>
          <w:sz w:val="28"/>
          <w:lang w:val="ru-RU"/>
        </w:rPr>
        <w:t>. Общий анализ АИП</w:t>
      </w:r>
      <w:bookmarkEnd w:id="5"/>
    </w:p>
    <w:p w14:paraId="0D6FA528" w14:textId="37639053" w:rsidR="0097685F" w:rsidRPr="00A06D8F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2763E9">
        <w:rPr>
          <w:sz w:val="28"/>
          <w:lang w:val="ru-RU"/>
        </w:rPr>
        <w:t>3.</w:t>
      </w:r>
      <w:r w:rsidR="00802D5D" w:rsidRPr="002763E9">
        <w:rPr>
          <w:sz w:val="28"/>
          <w:lang w:val="ru-RU"/>
        </w:rPr>
        <w:t>1. </w:t>
      </w:r>
      <w:r w:rsidR="002763E9" w:rsidRPr="002763E9">
        <w:rPr>
          <w:sz w:val="28"/>
          <w:lang w:val="ru-RU"/>
        </w:rPr>
        <w:t xml:space="preserve">АИП утверждается </w:t>
      </w:r>
      <w:bookmarkStart w:id="6" w:name="_Hlk128664616"/>
      <w:r w:rsidR="002763E9" w:rsidRPr="002763E9">
        <w:rPr>
          <w:sz w:val="28"/>
          <w:lang w:val="ru-RU"/>
        </w:rPr>
        <w:t>п</w:t>
      </w:r>
      <w:r w:rsidR="0097685F" w:rsidRPr="002763E9">
        <w:rPr>
          <w:sz w:val="28"/>
          <w:lang w:val="ru-RU"/>
        </w:rPr>
        <w:t xml:space="preserve">остановлением Правительства Москвы </w:t>
      </w:r>
      <w:r w:rsidR="002763E9" w:rsidRPr="002763E9">
        <w:rPr>
          <w:sz w:val="28"/>
          <w:lang w:val="ru-RU"/>
        </w:rPr>
        <w:t>с </w:t>
      </w:r>
      <w:r w:rsidR="001E51D5" w:rsidRPr="002763E9">
        <w:rPr>
          <w:sz w:val="28"/>
          <w:lang w:val="ru-RU"/>
        </w:rPr>
        <w:t>учетом требований Положения о порядке</w:t>
      </w:r>
      <w:r w:rsidR="001E51D5" w:rsidRPr="00A06D8F">
        <w:rPr>
          <w:sz w:val="28"/>
          <w:lang w:val="ru-RU"/>
        </w:rPr>
        <w:t xml:space="preserve"> формирования и реализации АИП</w:t>
      </w:r>
      <w:r w:rsidR="001E51D5" w:rsidRPr="00A06D8F">
        <w:rPr>
          <w:rStyle w:val="ac"/>
          <w:sz w:val="28"/>
          <w:lang w:val="ru-RU"/>
        </w:rPr>
        <w:footnoteReference w:id="3"/>
      </w:r>
      <w:r w:rsidR="00995707">
        <w:rPr>
          <w:sz w:val="28"/>
          <w:lang w:val="ru-RU"/>
        </w:rPr>
        <w:t xml:space="preserve">. В указанном постановлении </w:t>
      </w:r>
      <w:r w:rsidR="0097685F" w:rsidRPr="00A06D8F">
        <w:rPr>
          <w:sz w:val="28"/>
          <w:lang w:val="ru-RU"/>
        </w:rPr>
        <w:t xml:space="preserve">предусматриваются два приложения: </w:t>
      </w:r>
      <w:r w:rsidR="0097685F" w:rsidRPr="00A06D8F">
        <w:rPr>
          <w:sz w:val="28"/>
          <w:lang w:val="ru-RU"/>
        </w:rPr>
        <w:lastRenderedPageBreak/>
        <w:t xml:space="preserve">непосредственно АИП, а также сведения об ожидаемых конечных результатах реализации АИП. </w:t>
      </w:r>
    </w:p>
    <w:p w14:paraId="59BC5C6A" w14:textId="3D728921" w:rsidR="00361FC2" w:rsidRPr="00A06D8F" w:rsidRDefault="00A94F01" w:rsidP="00B41494">
      <w:pPr>
        <w:widowControl w:val="0"/>
        <w:ind w:firstLine="709"/>
        <w:jc w:val="both"/>
        <w:rPr>
          <w:sz w:val="28"/>
          <w:lang w:val="ru-RU"/>
        </w:rPr>
      </w:pPr>
      <w:r w:rsidRPr="00A06D8F">
        <w:rPr>
          <w:sz w:val="28"/>
          <w:lang w:val="ru-RU"/>
        </w:rPr>
        <w:t xml:space="preserve">В АИП устанавливаются </w:t>
      </w:r>
      <w:r w:rsidR="001E51D5">
        <w:rPr>
          <w:sz w:val="28"/>
          <w:lang w:val="ru-RU"/>
        </w:rPr>
        <w:t>показатели</w:t>
      </w:r>
      <w:r w:rsidR="00CB13B3" w:rsidRPr="00A06D8F">
        <w:rPr>
          <w:sz w:val="28"/>
          <w:lang w:val="ru-RU"/>
        </w:rPr>
        <w:t xml:space="preserve"> в разрезе гос</w:t>
      </w:r>
      <w:r w:rsidR="002763E9">
        <w:rPr>
          <w:sz w:val="28"/>
          <w:lang w:val="ru-RU"/>
        </w:rPr>
        <w:t>ударственных программ города Москвы (далее – госпрограммы)</w:t>
      </w:r>
      <w:r w:rsidRPr="00A06D8F">
        <w:rPr>
          <w:sz w:val="28"/>
          <w:lang w:val="ru-RU"/>
        </w:rPr>
        <w:t>, подпрограмм</w:t>
      </w:r>
      <w:r w:rsidR="00CB13B3" w:rsidRPr="00A06D8F">
        <w:rPr>
          <w:sz w:val="28"/>
          <w:lang w:val="ru-RU"/>
        </w:rPr>
        <w:t xml:space="preserve">, </w:t>
      </w:r>
      <w:r w:rsidR="005B470F" w:rsidRPr="00A06D8F">
        <w:rPr>
          <w:sz w:val="28"/>
          <w:lang w:val="ru-RU"/>
        </w:rPr>
        <w:t>главных распорядителей бюджетных средств (далее – ГРБС)</w:t>
      </w:r>
      <w:r w:rsidRPr="00A06D8F">
        <w:rPr>
          <w:sz w:val="28"/>
          <w:lang w:val="ru-RU"/>
        </w:rPr>
        <w:t xml:space="preserve"> и мероприятий</w:t>
      </w:r>
      <w:r w:rsidR="00CB13B3" w:rsidRPr="00A06D8F">
        <w:rPr>
          <w:sz w:val="28"/>
          <w:lang w:val="ru-RU"/>
        </w:rPr>
        <w:t xml:space="preserve"> с</w:t>
      </w:r>
      <w:r w:rsidR="005B470F" w:rsidRPr="00A06D8F">
        <w:rPr>
          <w:sz w:val="28"/>
          <w:lang w:val="ru-RU"/>
        </w:rPr>
        <w:t> </w:t>
      </w:r>
      <w:r w:rsidR="00CB13B3" w:rsidRPr="00A06D8F">
        <w:rPr>
          <w:sz w:val="28"/>
          <w:lang w:val="ru-RU"/>
        </w:rPr>
        <w:t>детализацией до отдельных объектов</w:t>
      </w:r>
      <w:bookmarkEnd w:id="6"/>
      <w:r w:rsidRPr="00A06D8F">
        <w:rPr>
          <w:sz w:val="28"/>
          <w:lang w:val="ru-RU"/>
        </w:rPr>
        <w:t xml:space="preserve">, </w:t>
      </w:r>
      <w:r w:rsidR="003D44DB">
        <w:rPr>
          <w:sz w:val="28"/>
          <w:lang w:val="ru-RU"/>
        </w:rPr>
        <w:t xml:space="preserve">сумм их финансирования, </w:t>
      </w:r>
      <w:r w:rsidRPr="00A06D8F">
        <w:rPr>
          <w:sz w:val="28"/>
          <w:lang w:val="ru-RU"/>
        </w:rPr>
        <w:t xml:space="preserve">а также </w:t>
      </w:r>
      <w:r w:rsidR="001E51D5">
        <w:rPr>
          <w:sz w:val="28"/>
          <w:lang w:val="ru-RU"/>
        </w:rPr>
        <w:t>данные</w:t>
      </w:r>
      <w:r w:rsidRPr="00A06D8F">
        <w:rPr>
          <w:sz w:val="28"/>
          <w:lang w:val="ru-RU"/>
        </w:rPr>
        <w:t xml:space="preserve"> об общем количестве реализуемых объектов в разбивке </w:t>
      </w:r>
      <w:r w:rsidR="003D44DB">
        <w:rPr>
          <w:sz w:val="28"/>
          <w:lang w:val="ru-RU"/>
        </w:rPr>
        <w:br/>
      </w:r>
      <w:r w:rsidRPr="00A06D8F">
        <w:rPr>
          <w:sz w:val="28"/>
          <w:lang w:val="ru-RU"/>
        </w:rPr>
        <w:t xml:space="preserve">по госпрограммам и </w:t>
      </w:r>
      <w:r w:rsidR="005B470F" w:rsidRPr="00A06D8F">
        <w:rPr>
          <w:sz w:val="28"/>
          <w:lang w:val="ru-RU"/>
        </w:rPr>
        <w:t>видам</w:t>
      </w:r>
      <w:r w:rsidRPr="00A06D8F">
        <w:rPr>
          <w:sz w:val="28"/>
          <w:lang w:val="ru-RU"/>
        </w:rPr>
        <w:t>.</w:t>
      </w:r>
      <w:r w:rsidR="008F0C94" w:rsidRPr="00A06D8F">
        <w:rPr>
          <w:sz w:val="28"/>
          <w:lang w:val="ru-RU"/>
        </w:rPr>
        <w:t xml:space="preserve"> </w:t>
      </w:r>
      <w:r w:rsidR="0097685F" w:rsidRPr="00A06D8F">
        <w:rPr>
          <w:sz w:val="28"/>
          <w:lang w:val="ru-RU"/>
        </w:rPr>
        <w:t>Кроме того,</w:t>
      </w:r>
      <w:r w:rsidR="002763E9">
        <w:rPr>
          <w:sz w:val="28"/>
          <w:lang w:val="ru-RU"/>
        </w:rPr>
        <w:t xml:space="preserve"> в соответствии с п.1.2.3. Положения</w:t>
      </w:r>
      <w:r w:rsidR="0097685F" w:rsidRPr="00A06D8F">
        <w:rPr>
          <w:sz w:val="28"/>
          <w:lang w:val="ru-RU"/>
        </w:rPr>
        <w:t xml:space="preserve"> </w:t>
      </w:r>
      <w:r w:rsidR="003D44DB">
        <w:rPr>
          <w:sz w:val="28"/>
          <w:lang w:val="ru-RU"/>
        </w:rPr>
        <w:br/>
      </w:r>
      <w:r w:rsidR="0097685F" w:rsidRPr="00A06D8F">
        <w:rPr>
          <w:sz w:val="28"/>
          <w:lang w:val="ru-RU"/>
        </w:rPr>
        <w:t>в</w:t>
      </w:r>
      <w:r w:rsidR="001E51D5">
        <w:rPr>
          <w:sz w:val="28"/>
          <w:lang w:val="ru-RU"/>
        </w:rPr>
        <w:t xml:space="preserve"> </w:t>
      </w:r>
      <w:r w:rsidR="0097685F" w:rsidRPr="00A06D8F">
        <w:rPr>
          <w:sz w:val="28"/>
          <w:lang w:val="ru-RU"/>
        </w:rPr>
        <w:t xml:space="preserve">АИП могут быть предусмотрены укрупненные мероприятия, по которым </w:t>
      </w:r>
      <w:r w:rsidR="003D44DB">
        <w:rPr>
          <w:sz w:val="28"/>
          <w:lang w:val="ru-RU"/>
        </w:rPr>
        <w:br/>
      </w:r>
      <w:r w:rsidR="0097685F" w:rsidRPr="00A06D8F">
        <w:rPr>
          <w:sz w:val="28"/>
          <w:lang w:val="ru-RU"/>
        </w:rPr>
        <w:t>не предусматривается детализация по финансированию, срокам, конкретным объектам.</w:t>
      </w:r>
    </w:p>
    <w:p w14:paraId="25BD772B" w14:textId="14515058" w:rsidR="00803834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BF35E5">
        <w:rPr>
          <w:sz w:val="28"/>
          <w:lang w:val="ru-RU"/>
        </w:rPr>
        <w:t xml:space="preserve">.2. При проведении общего анализа АИП </w:t>
      </w:r>
      <w:r w:rsidR="00803834">
        <w:rPr>
          <w:sz w:val="28"/>
          <w:lang w:val="ru-RU"/>
        </w:rPr>
        <w:t>обеспечивается сравнение</w:t>
      </w:r>
      <w:r w:rsidR="00BF35E5">
        <w:rPr>
          <w:sz w:val="28"/>
          <w:lang w:val="ru-RU"/>
        </w:rPr>
        <w:t xml:space="preserve"> </w:t>
      </w:r>
      <w:r w:rsidR="00803834">
        <w:rPr>
          <w:sz w:val="28"/>
          <w:lang w:val="ru-RU"/>
        </w:rPr>
        <w:t xml:space="preserve">значений </w:t>
      </w:r>
      <w:r w:rsidR="003D44DB">
        <w:rPr>
          <w:sz w:val="28"/>
          <w:lang w:val="ru-RU"/>
        </w:rPr>
        <w:t>стоимостных</w:t>
      </w:r>
      <w:r w:rsidR="00803834">
        <w:rPr>
          <w:sz w:val="28"/>
          <w:lang w:val="ru-RU"/>
        </w:rPr>
        <w:t xml:space="preserve"> и натуральных показателей со значениями, определенными в иных документах:</w:t>
      </w:r>
    </w:p>
    <w:p w14:paraId="4ECC4064" w14:textId="0DF3A198" w:rsidR="00803834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803834">
        <w:rPr>
          <w:sz w:val="28"/>
          <w:lang w:val="ru-RU"/>
        </w:rPr>
        <w:t>.2.1. </w:t>
      </w:r>
      <w:r w:rsidR="00803834">
        <w:rPr>
          <w:i/>
          <w:sz w:val="28"/>
          <w:lang w:val="ru-RU"/>
        </w:rPr>
        <w:t xml:space="preserve">Сравнение </w:t>
      </w:r>
      <w:r w:rsidR="003D44DB">
        <w:rPr>
          <w:i/>
          <w:sz w:val="28"/>
          <w:lang w:val="ru-RU"/>
        </w:rPr>
        <w:t>стоимостных</w:t>
      </w:r>
      <w:r w:rsidR="00803834">
        <w:rPr>
          <w:i/>
          <w:sz w:val="28"/>
          <w:lang w:val="ru-RU"/>
        </w:rPr>
        <w:t xml:space="preserve"> показателей </w:t>
      </w:r>
      <w:r w:rsidR="00803834">
        <w:rPr>
          <w:sz w:val="28"/>
          <w:lang w:val="ru-RU"/>
        </w:rPr>
        <w:t xml:space="preserve">осуществляется при их структурировании по временным периодам в разрезе госпрограмм и ГРБС. </w:t>
      </w:r>
    </w:p>
    <w:p w14:paraId="35928E38" w14:textId="1AA81FFD" w:rsidR="00803834" w:rsidRDefault="00AD62A9" w:rsidP="00B41494">
      <w:pPr>
        <w:widowControl w:val="0"/>
        <w:ind w:firstLine="709"/>
        <w:jc w:val="both"/>
        <w:rPr>
          <w:sz w:val="28"/>
          <w:lang w:val="ru-RU"/>
        </w:rPr>
      </w:pPr>
      <w:r w:rsidRPr="00AD62A9">
        <w:rPr>
          <w:sz w:val="28"/>
          <w:lang w:val="ru-RU"/>
        </w:rPr>
        <w:t>Примерная схема подготовки табличных материалов для анализа АИП</w:t>
      </w:r>
      <w:r>
        <w:rPr>
          <w:sz w:val="28"/>
          <w:lang w:val="ru-RU"/>
        </w:rPr>
        <w:t xml:space="preserve"> представлена </w:t>
      </w:r>
      <w:r w:rsidR="00803834" w:rsidRPr="003205E1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803834" w:rsidRPr="003205E1">
        <w:rPr>
          <w:sz w:val="28"/>
          <w:lang w:val="ru-RU"/>
        </w:rPr>
        <w:t xml:space="preserve">приложении </w:t>
      </w:r>
      <w:r w:rsidR="00361FC2" w:rsidRPr="003205E1">
        <w:rPr>
          <w:sz w:val="28"/>
          <w:lang w:val="ru-RU"/>
        </w:rPr>
        <w:t>3</w:t>
      </w:r>
      <w:r w:rsidR="0043711F">
        <w:rPr>
          <w:sz w:val="28"/>
          <w:lang w:val="ru-RU"/>
        </w:rPr>
        <w:t xml:space="preserve"> к настоящим Методическим рекомендациям</w:t>
      </w:r>
      <w:r w:rsidR="00803834" w:rsidRPr="003205E1">
        <w:rPr>
          <w:sz w:val="28"/>
          <w:lang w:val="ru-RU"/>
        </w:rPr>
        <w:t>.</w:t>
      </w:r>
    </w:p>
    <w:p w14:paraId="58A4176B" w14:textId="14965583" w:rsidR="00D14885" w:rsidRPr="00AD3D5F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5A6D95">
        <w:rPr>
          <w:sz w:val="28"/>
          <w:lang w:val="ru-RU"/>
        </w:rPr>
        <w:t>.2.2. </w:t>
      </w:r>
      <w:r w:rsidR="005A6D95">
        <w:rPr>
          <w:i/>
          <w:sz w:val="28"/>
          <w:lang w:val="ru-RU"/>
        </w:rPr>
        <w:t xml:space="preserve">Сравнение натуральных показателей </w:t>
      </w:r>
      <w:r w:rsidR="005A6D95">
        <w:rPr>
          <w:sz w:val="28"/>
          <w:lang w:val="ru-RU"/>
        </w:rPr>
        <w:t>предполагает с</w:t>
      </w:r>
      <w:r w:rsidR="00D14885" w:rsidRPr="004275BB">
        <w:rPr>
          <w:sz w:val="28"/>
          <w:lang w:val="ru-RU"/>
        </w:rPr>
        <w:t>опоставление значений ожидаемых конечных результатов реализации АИП</w:t>
      </w:r>
      <w:r w:rsidR="005A6D95">
        <w:rPr>
          <w:rStyle w:val="ac"/>
          <w:sz w:val="28"/>
          <w:lang w:val="ru-RU"/>
        </w:rPr>
        <w:t xml:space="preserve"> </w:t>
      </w:r>
      <w:r w:rsidR="00D14885" w:rsidRPr="004275BB">
        <w:rPr>
          <w:sz w:val="28"/>
          <w:lang w:val="ru-RU"/>
        </w:rPr>
        <w:t>со значениями показателей</w:t>
      </w:r>
      <w:r w:rsidR="00AD3D5F" w:rsidRPr="00AD3D5F">
        <w:rPr>
          <w:sz w:val="28"/>
          <w:lang w:val="ru-RU"/>
        </w:rPr>
        <w:t xml:space="preserve"> </w:t>
      </w:r>
      <w:r w:rsidR="00D14885">
        <w:rPr>
          <w:sz w:val="28"/>
          <w:lang w:val="ru-RU"/>
        </w:rPr>
        <w:t>АИП предшествующих периодов</w:t>
      </w:r>
      <w:r w:rsidR="00AD3D5F">
        <w:rPr>
          <w:sz w:val="28"/>
          <w:lang w:val="ru-RU"/>
        </w:rPr>
        <w:t xml:space="preserve"> </w:t>
      </w:r>
      <w:r w:rsidR="0043711F">
        <w:rPr>
          <w:sz w:val="28"/>
          <w:lang w:val="ru-RU"/>
        </w:rPr>
        <w:t>и/</w:t>
      </w:r>
      <w:r w:rsidR="00AD3D5F">
        <w:rPr>
          <w:sz w:val="28"/>
          <w:lang w:val="ru-RU"/>
        </w:rPr>
        <w:t>или</w:t>
      </w:r>
      <w:r w:rsidR="00D14885">
        <w:rPr>
          <w:sz w:val="28"/>
          <w:lang w:val="ru-RU"/>
        </w:rPr>
        <w:t xml:space="preserve"> </w:t>
      </w:r>
      <w:r w:rsidR="0043711F">
        <w:rPr>
          <w:sz w:val="28"/>
          <w:lang w:val="ru-RU"/>
        </w:rPr>
        <w:t xml:space="preserve">ее </w:t>
      </w:r>
      <w:r w:rsidR="00D14885">
        <w:rPr>
          <w:sz w:val="28"/>
          <w:lang w:val="ru-RU"/>
        </w:rPr>
        <w:t>редакций</w:t>
      </w:r>
      <w:r w:rsidR="00AD3D5F">
        <w:rPr>
          <w:rStyle w:val="ac"/>
          <w:sz w:val="28"/>
          <w:lang w:val="ru-RU"/>
        </w:rPr>
        <w:footnoteReference w:id="4"/>
      </w:r>
      <w:r w:rsidR="00AD3D5F">
        <w:rPr>
          <w:sz w:val="28"/>
          <w:lang w:val="ru-RU"/>
        </w:rPr>
        <w:t>, а также госпрограмм</w:t>
      </w:r>
      <w:r w:rsidR="00AD3D5F">
        <w:rPr>
          <w:rStyle w:val="ac"/>
          <w:sz w:val="28"/>
          <w:lang w:val="ru-RU"/>
        </w:rPr>
        <w:footnoteReference w:id="5"/>
      </w:r>
      <w:r w:rsidR="00AD3D5F">
        <w:rPr>
          <w:sz w:val="28"/>
          <w:lang w:val="ru-RU"/>
        </w:rPr>
        <w:t xml:space="preserve">. </w:t>
      </w:r>
    </w:p>
    <w:p w14:paraId="5EB2BCE8" w14:textId="5BA29AF8" w:rsidR="00D14885" w:rsidRPr="000A703C" w:rsidRDefault="00D14885" w:rsidP="00B41494">
      <w:pPr>
        <w:widowControl w:val="0"/>
        <w:ind w:firstLine="709"/>
        <w:jc w:val="both"/>
        <w:rPr>
          <w:sz w:val="28"/>
          <w:lang w:val="ru-RU"/>
        </w:rPr>
      </w:pPr>
      <w:r w:rsidRPr="000A703C">
        <w:rPr>
          <w:sz w:val="28"/>
          <w:lang w:val="ru-RU"/>
        </w:rPr>
        <w:t xml:space="preserve">При сравнении АИП с рассматриваемыми документами следует также </w:t>
      </w:r>
      <w:r w:rsidR="00B55386">
        <w:rPr>
          <w:sz w:val="28"/>
          <w:lang w:val="ru-RU"/>
        </w:rPr>
        <w:t>сопоставить</w:t>
      </w:r>
      <w:r w:rsidRPr="000A703C">
        <w:rPr>
          <w:sz w:val="28"/>
          <w:lang w:val="ru-RU"/>
        </w:rPr>
        <w:t xml:space="preserve"> данные в части фактического ввода объектов со значениями, отражаемыми органами статистики и Комитетом государственного строительного надзора </w:t>
      </w:r>
      <w:r w:rsidR="007F20BD">
        <w:rPr>
          <w:sz w:val="28"/>
          <w:lang w:val="ru-RU"/>
        </w:rPr>
        <w:t>города Москвы</w:t>
      </w:r>
      <w:r w:rsidR="007F20BD">
        <w:rPr>
          <w:rStyle w:val="ac"/>
          <w:sz w:val="28"/>
          <w:lang w:val="ru-RU"/>
        </w:rPr>
        <w:footnoteReference w:id="6"/>
      </w:r>
      <w:r w:rsidRPr="000A703C">
        <w:rPr>
          <w:sz w:val="28"/>
          <w:lang w:val="ru-RU"/>
        </w:rPr>
        <w:t>.</w:t>
      </w:r>
    </w:p>
    <w:p w14:paraId="580FE9B9" w14:textId="1102CC70" w:rsidR="00D14885" w:rsidRDefault="00D14885" w:rsidP="00B41494">
      <w:pPr>
        <w:widowControl w:val="0"/>
        <w:ind w:firstLine="709"/>
        <w:jc w:val="both"/>
        <w:rPr>
          <w:sz w:val="28"/>
          <w:lang w:val="ru-RU"/>
        </w:rPr>
      </w:pPr>
      <w:r w:rsidRPr="00FE40EB">
        <w:rPr>
          <w:sz w:val="28"/>
          <w:lang w:val="ru-RU"/>
        </w:rPr>
        <w:t xml:space="preserve">Выявленные расхождения служат основой для последующего </w:t>
      </w:r>
      <w:r w:rsidRPr="002B5384">
        <w:rPr>
          <w:sz w:val="28"/>
          <w:lang w:val="ru-RU"/>
        </w:rPr>
        <w:t xml:space="preserve">установления релевантных причин, </w:t>
      </w:r>
      <w:r w:rsidR="0043711F">
        <w:rPr>
          <w:sz w:val="28"/>
          <w:lang w:val="ru-RU"/>
        </w:rPr>
        <w:t>формированию</w:t>
      </w:r>
      <w:r w:rsidRPr="002B5384">
        <w:rPr>
          <w:sz w:val="28"/>
          <w:lang w:val="ru-RU"/>
        </w:rPr>
        <w:t xml:space="preserve"> предложений </w:t>
      </w:r>
      <w:r w:rsidR="0043711F">
        <w:rPr>
          <w:sz w:val="28"/>
          <w:lang w:val="ru-RU"/>
        </w:rPr>
        <w:br/>
      </w:r>
      <w:r w:rsidRPr="002B5384">
        <w:rPr>
          <w:sz w:val="28"/>
          <w:lang w:val="ru-RU"/>
        </w:rPr>
        <w:t>по корректировке значени</w:t>
      </w:r>
      <w:r w:rsidR="00B55386" w:rsidRPr="002B5384">
        <w:rPr>
          <w:sz w:val="28"/>
          <w:lang w:val="ru-RU"/>
        </w:rPr>
        <w:t>й АИП и/или госпрограмм</w:t>
      </w:r>
      <w:r w:rsidRPr="002B5384">
        <w:rPr>
          <w:sz w:val="28"/>
          <w:lang w:val="ru-RU"/>
        </w:rPr>
        <w:t>, а также</w:t>
      </w:r>
      <w:r>
        <w:rPr>
          <w:sz w:val="28"/>
          <w:lang w:val="ru-RU"/>
        </w:rPr>
        <w:t xml:space="preserve"> определени</w:t>
      </w:r>
      <w:r w:rsidR="0043711F">
        <w:rPr>
          <w:sz w:val="28"/>
          <w:lang w:val="ru-RU"/>
        </w:rPr>
        <w:t>я</w:t>
      </w:r>
      <w:r>
        <w:rPr>
          <w:sz w:val="28"/>
          <w:lang w:val="ru-RU"/>
        </w:rPr>
        <w:t xml:space="preserve"> проблемных аспектов достижения установленных плановых сроков ввода</w:t>
      </w:r>
      <w:r w:rsidR="0019323D">
        <w:rPr>
          <w:sz w:val="28"/>
          <w:lang w:val="ru-RU"/>
        </w:rPr>
        <w:t xml:space="preserve"> в</w:t>
      </w:r>
      <w:r w:rsidR="0019323D">
        <w:rPr>
          <w:sz w:val="28"/>
        </w:rPr>
        <w:t> </w:t>
      </w:r>
      <w:r w:rsidR="0019323D">
        <w:rPr>
          <w:sz w:val="28"/>
          <w:lang w:val="ru-RU"/>
        </w:rPr>
        <w:t>эксплуатацию</w:t>
      </w:r>
      <w:r>
        <w:rPr>
          <w:sz w:val="28"/>
          <w:lang w:val="ru-RU"/>
        </w:rPr>
        <w:t xml:space="preserve"> отдельных объектов</w:t>
      </w:r>
      <w:r w:rsidR="00AD3D5F">
        <w:rPr>
          <w:rStyle w:val="ac"/>
          <w:sz w:val="28"/>
          <w:lang w:val="ru-RU"/>
        </w:rPr>
        <w:footnoteReference w:id="7"/>
      </w:r>
      <w:r>
        <w:rPr>
          <w:sz w:val="28"/>
          <w:lang w:val="ru-RU"/>
        </w:rPr>
        <w:t xml:space="preserve">. </w:t>
      </w:r>
    </w:p>
    <w:p w14:paraId="49CED923" w14:textId="1161DC4E" w:rsidR="001C251D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3</w:t>
      </w:r>
      <w:r w:rsidR="008F0C94" w:rsidRPr="005477BF">
        <w:rPr>
          <w:sz w:val="28"/>
          <w:lang w:val="ru-RU"/>
        </w:rPr>
        <w:t>.3. Данные, полученные по результатам сравнения финансовых и натуральных показателей</w:t>
      </w:r>
      <w:r w:rsidR="00B34685">
        <w:rPr>
          <w:sz w:val="28"/>
          <w:lang w:val="ru-RU"/>
        </w:rPr>
        <w:t>,</w:t>
      </w:r>
      <w:r w:rsidR="008F0C94" w:rsidRPr="005477BF">
        <w:rPr>
          <w:sz w:val="28"/>
          <w:lang w:val="ru-RU"/>
        </w:rPr>
        <w:t xml:space="preserve"> с учетом сведений, составляющих информационную основу анализа АИП (</w:t>
      </w:r>
      <w:r w:rsidR="00AC7C83">
        <w:rPr>
          <w:sz w:val="28"/>
          <w:lang w:val="ru-RU"/>
        </w:rPr>
        <w:t>раздел</w:t>
      </w:r>
      <w:r w:rsidR="008F0C94" w:rsidRPr="005477BF">
        <w:rPr>
          <w:sz w:val="28"/>
          <w:lang w:val="ru-RU"/>
        </w:rPr>
        <w:t xml:space="preserve"> 2</w:t>
      </w:r>
      <w:r w:rsidR="0043711F">
        <w:rPr>
          <w:sz w:val="28"/>
          <w:lang w:val="ru-RU"/>
        </w:rPr>
        <w:t xml:space="preserve"> настоящих Методических рекомендаций</w:t>
      </w:r>
      <w:r w:rsidR="008F0C94" w:rsidRPr="005477BF">
        <w:rPr>
          <w:sz w:val="28"/>
          <w:lang w:val="ru-RU"/>
        </w:rPr>
        <w:t>)</w:t>
      </w:r>
      <w:r w:rsidR="001C251D">
        <w:rPr>
          <w:sz w:val="28"/>
          <w:lang w:val="ru-RU"/>
        </w:rPr>
        <w:t xml:space="preserve">, </w:t>
      </w:r>
      <w:r w:rsidR="008F0C94" w:rsidRPr="005477BF">
        <w:rPr>
          <w:sz w:val="28"/>
          <w:lang w:val="ru-RU"/>
        </w:rPr>
        <w:t xml:space="preserve">позволяют </w:t>
      </w:r>
      <w:r w:rsidR="001C251D">
        <w:rPr>
          <w:sz w:val="28"/>
          <w:lang w:val="ru-RU"/>
        </w:rPr>
        <w:t>формулировать возможные причины (рабочие гипотезы)</w:t>
      </w:r>
      <w:r w:rsidR="001C251D" w:rsidRPr="001C251D">
        <w:rPr>
          <w:sz w:val="28"/>
          <w:lang w:val="ru-RU"/>
        </w:rPr>
        <w:t xml:space="preserve"> </w:t>
      </w:r>
      <w:r w:rsidR="001C251D" w:rsidRPr="005477BF">
        <w:rPr>
          <w:sz w:val="28"/>
          <w:lang w:val="ru-RU"/>
        </w:rPr>
        <w:t>низкого (недостаточного) исполнения АИП по отдельным госпрограммам (подпрограммам, мероприятиям) и ГРБС.</w:t>
      </w:r>
    </w:p>
    <w:p w14:paraId="564CC7D0" w14:textId="66D9AF05" w:rsidR="001455BA" w:rsidRDefault="001455BA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 числу </w:t>
      </w:r>
      <w:r w:rsidR="001C251D">
        <w:rPr>
          <w:sz w:val="28"/>
          <w:lang w:val="ru-RU"/>
        </w:rPr>
        <w:t xml:space="preserve">возможных </w:t>
      </w:r>
      <w:r>
        <w:rPr>
          <w:sz w:val="28"/>
          <w:lang w:val="ru-RU"/>
        </w:rPr>
        <w:t>причин</w:t>
      </w:r>
      <w:r w:rsidR="001C251D">
        <w:rPr>
          <w:sz w:val="28"/>
          <w:lang w:val="ru-RU"/>
        </w:rPr>
        <w:t xml:space="preserve"> (рабочих гипотез), устанавливаемых (подтверждаемых) при проведении тематических контрольных и экспертно-аналитических мероприятий,</w:t>
      </w:r>
      <w:r>
        <w:rPr>
          <w:sz w:val="28"/>
          <w:lang w:val="ru-RU"/>
        </w:rPr>
        <w:t xml:space="preserve"> относятся:</w:t>
      </w:r>
    </w:p>
    <w:p w14:paraId="4C75AE8F" w14:textId="393378A6" w:rsidR="001455BA" w:rsidRPr="001455BA" w:rsidRDefault="001455BA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«финансовые» (отсутствие,</w:t>
      </w:r>
      <w:r w:rsidRPr="001455BA">
        <w:rPr>
          <w:rFonts w:eastAsiaTheme="minorHAnsi" w:cstheme="minorBidi"/>
          <w:sz w:val="28"/>
          <w:szCs w:val="20"/>
          <w:lang w:val="ru-RU" w:bidi="ar-SA"/>
        </w:rPr>
        <w:t xml:space="preserve"> недостаточность финансирования или несвоевременность доведения финансовых ресурсов до застройщиков</w:t>
      </w:r>
      <w:r w:rsidRPr="001455BA">
        <w:rPr>
          <w:rStyle w:val="ac"/>
          <w:rFonts w:eastAsiaTheme="minorHAnsi" w:cstheme="minorBidi"/>
          <w:sz w:val="28"/>
          <w:szCs w:val="20"/>
          <w:lang w:val="ru-RU" w:bidi="ar-SA"/>
        </w:rPr>
        <w:footnoteReference w:id="8"/>
      </w:r>
      <w:r w:rsidR="00F23187">
        <w:rPr>
          <w:rFonts w:eastAsiaTheme="minorHAnsi" w:cstheme="minorBidi"/>
          <w:sz w:val="28"/>
          <w:szCs w:val="20"/>
          <w:lang w:val="ru-RU" w:bidi="ar-SA"/>
        </w:rPr>
        <w:t>)</w:t>
      </w:r>
      <w:r w:rsidRPr="001455BA">
        <w:rPr>
          <w:rFonts w:eastAsiaTheme="minorHAnsi" w:cstheme="minorBidi"/>
          <w:sz w:val="28"/>
          <w:szCs w:val="20"/>
          <w:lang w:val="ru-RU" w:bidi="ar-SA"/>
        </w:rPr>
        <w:t>;</w:t>
      </w:r>
    </w:p>
    <w:p w14:paraId="2E22D1E0" w14:textId="7D8F3ACB" w:rsidR="001455BA" w:rsidRDefault="001455BA" w:rsidP="00B41494">
      <w:pPr>
        <w:widowControl w:val="0"/>
        <w:ind w:firstLine="709"/>
        <w:jc w:val="both"/>
        <w:rPr>
          <w:rFonts w:eastAsiaTheme="minorHAnsi" w:cstheme="minorBidi"/>
          <w:sz w:val="28"/>
          <w:szCs w:val="20"/>
          <w:lang w:val="ru-RU" w:bidi="ar-SA"/>
        </w:rPr>
      </w:pPr>
      <w:r w:rsidRPr="001455BA">
        <w:rPr>
          <w:rFonts w:eastAsiaTheme="minorHAnsi" w:cstheme="minorBidi"/>
          <w:sz w:val="28"/>
          <w:szCs w:val="20"/>
          <w:lang w:val="ru-RU" w:bidi="ar-SA"/>
        </w:rPr>
        <w:t>– «управленческие» (отсутствие потребности в реализации объект</w:t>
      </w:r>
      <w:r>
        <w:rPr>
          <w:rFonts w:eastAsiaTheme="minorHAnsi" w:cstheme="minorBidi"/>
          <w:sz w:val="28"/>
          <w:szCs w:val="20"/>
          <w:lang w:val="ru-RU" w:bidi="ar-SA"/>
        </w:rPr>
        <w:t>ов</w:t>
      </w:r>
      <w:r w:rsidRPr="001455BA">
        <w:rPr>
          <w:rFonts w:eastAsiaTheme="minorHAnsi" w:cstheme="minorBidi"/>
          <w:sz w:val="28"/>
          <w:szCs w:val="20"/>
          <w:lang w:val="ru-RU" w:bidi="ar-SA"/>
        </w:rPr>
        <w:t xml:space="preserve"> </w:t>
      </w:r>
      <w:r w:rsidR="00ED0BE5">
        <w:rPr>
          <w:rFonts w:eastAsiaTheme="minorHAnsi" w:cstheme="minorBidi"/>
          <w:sz w:val="28"/>
          <w:szCs w:val="20"/>
          <w:lang w:val="ru-RU" w:bidi="ar-SA"/>
        </w:rPr>
        <w:br/>
      </w:r>
      <w:r w:rsidRPr="001455BA">
        <w:rPr>
          <w:rFonts w:eastAsiaTheme="minorHAnsi" w:cstheme="minorBidi"/>
          <w:sz w:val="28"/>
          <w:szCs w:val="20"/>
          <w:lang w:val="ru-RU" w:bidi="ar-SA"/>
        </w:rPr>
        <w:t>в целом или к ранее установленному временному периоду</w:t>
      </w:r>
      <w:r>
        <w:rPr>
          <w:rFonts w:eastAsiaTheme="minorHAnsi" w:cstheme="minorBidi"/>
          <w:sz w:val="28"/>
          <w:szCs w:val="20"/>
          <w:lang w:val="ru-RU" w:bidi="ar-SA"/>
        </w:rPr>
        <w:t xml:space="preserve">, </w:t>
      </w:r>
      <w:r w:rsidRPr="001455BA">
        <w:rPr>
          <w:rFonts w:eastAsiaTheme="minorHAnsi" w:cstheme="minorBidi"/>
          <w:sz w:val="28"/>
          <w:szCs w:val="20"/>
          <w:lang w:val="ru-RU" w:bidi="ar-SA"/>
        </w:rPr>
        <w:t xml:space="preserve">отсутствие и/или длительные сроки согласования </w:t>
      </w:r>
      <w:r>
        <w:rPr>
          <w:rFonts w:eastAsiaTheme="minorHAnsi" w:cstheme="minorBidi"/>
          <w:sz w:val="28"/>
          <w:szCs w:val="20"/>
          <w:lang w:val="ru-RU" w:bidi="ar-SA"/>
        </w:rPr>
        <w:t>условий</w:t>
      </w:r>
      <w:r w:rsidRPr="001455BA">
        <w:rPr>
          <w:rFonts w:eastAsiaTheme="minorHAnsi" w:cstheme="minorBidi"/>
          <w:sz w:val="28"/>
          <w:szCs w:val="20"/>
          <w:lang w:val="ru-RU" w:bidi="ar-SA"/>
        </w:rPr>
        <w:t xml:space="preserve"> с ресурсоснабжающими организациями при присоединении объекта к инженерным сетям</w:t>
      </w:r>
      <w:r>
        <w:rPr>
          <w:rFonts w:eastAsiaTheme="minorHAnsi" w:cstheme="minorBidi"/>
          <w:sz w:val="28"/>
          <w:szCs w:val="20"/>
          <w:lang w:val="ru-RU" w:bidi="ar-SA"/>
        </w:rPr>
        <w:t>);</w:t>
      </w:r>
    </w:p>
    <w:p w14:paraId="36874BD4" w14:textId="7A3AB7ED" w:rsidR="001455BA" w:rsidRPr="001455BA" w:rsidRDefault="001455BA" w:rsidP="00B41494">
      <w:pPr>
        <w:widowControl w:val="0"/>
        <w:ind w:firstLine="709"/>
        <w:jc w:val="both"/>
        <w:rPr>
          <w:rFonts w:eastAsiaTheme="minorHAnsi" w:cstheme="minorBidi"/>
          <w:sz w:val="28"/>
          <w:szCs w:val="20"/>
          <w:lang w:val="ru-RU" w:bidi="ar-SA"/>
        </w:rPr>
      </w:pPr>
      <w:r>
        <w:rPr>
          <w:rFonts w:eastAsiaTheme="minorHAnsi" w:cstheme="minorBidi"/>
          <w:sz w:val="28"/>
          <w:szCs w:val="20"/>
          <w:lang w:val="ru-RU" w:bidi="ar-SA"/>
        </w:rPr>
        <w:t>– «процессные» (низкое качество</w:t>
      </w:r>
      <w:r w:rsidR="001C251D">
        <w:rPr>
          <w:rFonts w:eastAsiaTheme="minorHAnsi" w:cstheme="minorBidi"/>
          <w:sz w:val="28"/>
          <w:szCs w:val="20"/>
          <w:lang w:val="ru-RU" w:bidi="ar-SA"/>
        </w:rPr>
        <w:t xml:space="preserve"> и/или</w:t>
      </w:r>
      <w:r>
        <w:rPr>
          <w:rFonts w:eastAsiaTheme="minorHAnsi" w:cstheme="minorBidi"/>
          <w:sz w:val="28"/>
          <w:szCs w:val="20"/>
          <w:lang w:val="ru-RU" w:bidi="ar-SA"/>
        </w:rPr>
        <w:t xml:space="preserve"> длительные сроки </w:t>
      </w:r>
      <w:r w:rsidR="003D44DB">
        <w:rPr>
          <w:rFonts w:eastAsiaTheme="minorHAnsi" w:cstheme="minorBidi"/>
          <w:sz w:val="28"/>
          <w:szCs w:val="20"/>
          <w:lang w:val="ru-RU" w:bidi="ar-SA"/>
        </w:rPr>
        <w:t xml:space="preserve">выполнения </w:t>
      </w:r>
      <w:r>
        <w:rPr>
          <w:rFonts w:eastAsiaTheme="minorHAnsi" w:cstheme="minorBidi"/>
          <w:sz w:val="28"/>
          <w:szCs w:val="20"/>
          <w:lang w:val="ru-RU" w:bidi="ar-SA"/>
        </w:rPr>
        <w:t xml:space="preserve">проектно-изыскательских </w:t>
      </w:r>
      <w:r w:rsidR="00E00C5E">
        <w:rPr>
          <w:rFonts w:eastAsiaTheme="minorHAnsi" w:cstheme="minorBidi"/>
          <w:sz w:val="28"/>
          <w:szCs w:val="20"/>
          <w:lang w:val="ru-RU" w:bidi="ar-SA"/>
        </w:rPr>
        <w:t>и/или</w:t>
      </w:r>
      <w:r w:rsidR="00DF6320" w:rsidRPr="001455BA">
        <w:rPr>
          <w:rFonts w:eastAsiaTheme="minorHAnsi" w:cstheme="minorBidi"/>
          <w:sz w:val="28"/>
          <w:szCs w:val="20"/>
          <w:lang w:val="ru-RU" w:bidi="ar-SA"/>
        </w:rPr>
        <w:t xml:space="preserve"> строительно-монтажных работ</w:t>
      </w:r>
      <w:r w:rsidR="00DF6320">
        <w:rPr>
          <w:rFonts w:eastAsiaTheme="minorHAnsi" w:cstheme="minorBidi"/>
          <w:sz w:val="28"/>
          <w:szCs w:val="20"/>
          <w:lang w:val="ru-RU" w:bidi="ar-SA"/>
        </w:rPr>
        <w:t xml:space="preserve">, низкое качество </w:t>
      </w:r>
      <w:r w:rsidRPr="001455BA">
        <w:rPr>
          <w:rFonts w:eastAsiaTheme="minorHAnsi" w:cstheme="minorBidi"/>
          <w:sz w:val="28"/>
          <w:szCs w:val="20"/>
          <w:lang w:val="ru-RU" w:bidi="ar-SA"/>
        </w:rPr>
        <w:t>разработанной проектно-сметной документации</w:t>
      </w:r>
      <w:r>
        <w:rPr>
          <w:rFonts w:eastAsiaTheme="minorHAnsi" w:cstheme="minorBidi"/>
          <w:sz w:val="28"/>
          <w:szCs w:val="20"/>
          <w:lang w:val="ru-RU" w:bidi="ar-SA"/>
        </w:rPr>
        <w:t>).</w:t>
      </w:r>
    </w:p>
    <w:p w14:paraId="45753688" w14:textId="7DB3155A" w:rsidR="004F5D41" w:rsidRDefault="004F5D41" w:rsidP="00B41494">
      <w:pPr>
        <w:widowControl w:val="0"/>
        <w:ind w:firstLine="709"/>
        <w:jc w:val="both"/>
        <w:rPr>
          <w:sz w:val="28"/>
          <w:lang w:val="ru-RU"/>
        </w:rPr>
      </w:pPr>
    </w:p>
    <w:p w14:paraId="3F6D915C" w14:textId="73782959" w:rsidR="007E0E97" w:rsidRPr="00E9306A" w:rsidRDefault="002510FE" w:rsidP="00B41494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7" w:name="_Toc130280510"/>
      <w:r>
        <w:rPr>
          <w:rFonts w:ascii="Times New Roman" w:hAnsi="Times New Roman" w:cs="Times New Roman"/>
          <w:b/>
          <w:color w:val="auto"/>
          <w:sz w:val="28"/>
          <w:lang w:val="ru-RU"/>
        </w:rPr>
        <w:t>4</w:t>
      </w:r>
      <w:r w:rsidR="007E0E97" w:rsidRPr="00E9306A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. </w:t>
      </w:r>
      <w:r w:rsidR="000C0548" w:rsidRPr="00E9306A">
        <w:rPr>
          <w:rFonts w:ascii="Times New Roman" w:hAnsi="Times New Roman" w:cs="Times New Roman"/>
          <w:b/>
          <w:color w:val="auto"/>
          <w:sz w:val="28"/>
          <w:lang w:val="ru-RU"/>
        </w:rPr>
        <w:t>Специальный анализ</w:t>
      </w:r>
      <w:r w:rsidR="005A6D95" w:rsidRPr="00E9306A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АИП</w:t>
      </w:r>
      <w:bookmarkEnd w:id="7"/>
    </w:p>
    <w:p w14:paraId="3FD58F0A" w14:textId="1746FC08" w:rsidR="005477BF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5A6D95">
        <w:rPr>
          <w:sz w:val="28"/>
          <w:lang w:val="ru-RU"/>
        </w:rPr>
        <w:t>.1. </w:t>
      </w:r>
      <w:r w:rsidR="00C179A9">
        <w:rPr>
          <w:sz w:val="28"/>
          <w:lang w:val="ru-RU"/>
        </w:rPr>
        <w:t>Специальный анализ АИП</w:t>
      </w:r>
      <w:r w:rsidR="001C251D">
        <w:rPr>
          <w:sz w:val="28"/>
          <w:lang w:val="ru-RU"/>
        </w:rPr>
        <w:t xml:space="preserve"> </w:t>
      </w:r>
      <w:r w:rsidR="00716D55">
        <w:rPr>
          <w:sz w:val="28"/>
          <w:lang w:val="ru-RU"/>
        </w:rPr>
        <w:t>включает:</w:t>
      </w:r>
    </w:p>
    <w:p w14:paraId="124DA8B8" w14:textId="14D4FCDC" w:rsidR="00F10B5B" w:rsidRDefault="00F10B5B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оценк</w:t>
      </w:r>
      <w:r w:rsidR="00876ED0">
        <w:rPr>
          <w:sz w:val="28"/>
          <w:lang w:val="ru-RU"/>
        </w:rPr>
        <w:t>у</w:t>
      </w:r>
      <w:r>
        <w:rPr>
          <w:sz w:val="28"/>
          <w:lang w:val="ru-RU"/>
        </w:rPr>
        <w:t xml:space="preserve"> </w:t>
      </w:r>
      <w:r w:rsidR="001E51D5">
        <w:rPr>
          <w:sz w:val="28"/>
          <w:lang w:val="ru-RU"/>
        </w:rPr>
        <w:t>законности</w:t>
      </w:r>
      <w:r>
        <w:rPr>
          <w:sz w:val="28"/>
          <w:lang w:val="ru-RU"/>
        </w:rPr>
        <w:t xml:space="preserve"> включения объекта в АИП;</w:t>
      </w:r>
    </w:p>
    <w:p w14:paraId="63B60D4A" w14:textId="339A9F75" w:rsidR="00EC4B91" w:rsidRPr="00C62EAA" w:rsidRDefault="00EC4B91" w:rsidP="00B4149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</w:t>
      </w:r>
      <w:r w:rsidRPr="00C62EAA">
        <w:rPr>
          <w:sz w:val="28"/>
          <w:lang w:val="ru-RU"/>
        </w:rPr>
        <w:t>сравнени</w:t>
      </w:r>
      <w:r w:rsidR="00876ED0" w:rsidRPr="00C62EAA">
        <w:rPr>
          <w:sz w:val="28"/>
          <w:lang w:val="ru-RU"/>
        </w:rPr>
        <w:t xml:space="preserve">е </w:t>
      </w:r>
      <w:r w:rsidRPr="00C62EAA">
        <w:rPr>
          <w:sz w:val="28"/>
          <w:lang w:val="ru-RU"/>
        </w:rPr>
        <w:t>сроков реализации объекта;</w:t>
      </w:r>
    </w:p>
    <w:p w14:paraId="2D8A3A99" w14:textId="35BEEA44" w:rsidR="008F37FD" w:rsidRPr="00C62EAA" w:rsidRDefault="008F37FD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– оценку своевременности начала строительно-монтажных работ;</w:t>
      </w:r>
    </w:p>
    <w:p w14:paraId="16B537F8" w14:textId="734F8F94" w:rsidR="00876ED0" w:rsidRPr="00C62EAA" w:rsidRDefault="00876ED0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 xml:space="preserve">– оценку своевременности </w:t>
      </w:r>
      <w:bookmarkStart w:id="8" w:name="_Hlk129348777"/>
      <w:r w:rsidRPr="00C62EAA">
        <w:rPr>
          <w:sz w:val="28"/>
          <w:lang w:val="ru-RU"/>
        </w:rPr>
        <w:t>корректировок лимитов бюджетного финансирования по объектам, введенным в эксплуатацию</w:t>
      </w:r>
      <w:bookmarkEnd w:id="8"/>
      <w:r w:rsidRPr="00C62EAA">
        <w:rPr>
          <w:sz w:val="28"/>
          <w:lang w:val="ru-RU"/>
        </w:rPr>
        <w:t>;</w:t>
      </w:r>
    </w:p>
    <w:p w14:paraId="45636A14" w14:textId="6386246F" w:rsidR="00876ED0" w:rsidRPr="00C62EAA" w:rsidRDefault="00EC4B91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– анализ</w:t>
      </w:r>
      <w:r w:rsidR="00876ED0" w:rsidRPr="00C62EAA">
        <w:rPr>
          <w:sz w:val="28"/>
          <w:lang w:val="ru-RU"/>
        </w:rPr>
        <w:t xml:space="preserve"> обоснованности увеличения стоимости реализации объекта;</w:t>
      </w:r>
    </w:p>
    <w:p w14:paraId="6FBDDA3F" w14:textId="02F3CF7A" w:rsidR="00C179A9" w:rsidRPr="00C62EAA" w:rsidRDefault="00C179A9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– анализ состава укрупненных мероприятий.</w:t>
      </w:r>
    </w:p>
    <w:p w14:paraId="4A26B682" w14:textId="214B4A33" w:rsidR="001C77DE" w:rsidRPr="00C62EAA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4</w:t>
      </w:r>
      <w:r w:rsidR="00F10B5B" w:rsidRPr="00C62EAA">
        <w:rPr>
          <w:sz w:val="28"/>
          <w:lang w:val="ru-RU"/>
        </w:rPr>
        <w:t>.2.</w:t>
      </w:r>
      <w:r w:rsidR="009B0C24" w:rsidRPr="00C62EAA">
        <w:rPr>
          <w:sz w:val="28"/>
          <w:lang w:val="ru-RU"/>
        </w:rPr>
        <w:t> </w:t>
      </w:r>
      <w:r w:rsidR="00F10B5B" w:rsidRPr="00C62EAA">
        <w:rPr>
          <w:sz w:val="28"/>
          <w:lang w:val="ru-RU"/>
        </w:rPr>
        <w:t xml:space="preserve">Оценка </w:t>
      </w:r>
      <w:r w:rsidR="001E51D5">
        <w:rPr>
          <w:sz w:val="28"/>
          <w:lang w:val="ru-RU"/>
        </w:rPr>
        <w:t>законно</w:t>
      </w:r>
      <w:r w:rsidR="00F10B5B" w:rsidRPr="00C62EAA">
        <w:rPr>
          <w:sz w:val="28"/>
          <w:lang w:val="ru-RU"/>
        </w:rPr>
        <w:t xml:space="preserve">сти включения объекта в АИП осуществляется на предмет соблюдения </w:t>
      </w:r>
      <w:r w:rsidR="001E51D5">
        <w:rPr>
          <w:sz w:val="28"/>
          <w:lang w:val="ru-RU"/>
        </w:rPr>
        <w:t xml:space="preserve">требований, определенных </w:t>
      </w:r>
      <w:r w:rsidR="009B0C24" w:rsidRPr="00C62EAA">
        <w:rPr>
          <w:sz w:val="28"/>
          <w:lang w:val="ru-RU"/>
        </w:rPr>
        <w:t>Положением</w:t>
      </w:r>
      <w:r w:rsidR="001C77DE" w:rsidRPr="00C62EAA">
        <w:rPr>
          <w:sz w:val="28"/>
          <w:lang w:val="ru-RU"/>
        </w:rPr>
        <w:t>. В частности, оценивается</w:t>
      </w:r>
      <w:r w:rsidR="00183AE2">
        <w:rPr>
          <w:rStyle w:val="ac"/>
          <w:sz w:val="28"/>
          <w:lang w:val="ru-RU"/>
        </w:rPr>
        <w:footnoteReference w:id="9"/>
      </w:r>
      <w:r w:rsidR="001C77DE" w:rsidRPr="00C62EAA">
        <w:rPr>
          <w:sz w:val="28"/>
          <w:lang w:val="ru-RU"/>
        </w:rPr>
        <w:t>:</w:t>
      </w:r>
    </w:p>
    <w:p w14:paraId="74E91D28" w14:textId="5C98F413" w:rsidR="001C77DE" w:rsidRPr="00C62EAA" w:rsidRDefault="001C77DE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–</w:t>
      </w:r>
      <w:r w:rsidRPr="00C62EAA">
        <w:rPr>
          <w:sz w:val="28"/>
        </w:rPr>
        <w:t> </w:t>
      </w:r>
      <w:r w:rsidRPr="00C62EAA">
        <w:rPr>
          <w:sz w:val="28"/>
          <w:lang w:val="ru-RU"/>
        </w:rPr>
        <w:t>полнота данных об объекте (наименование, относимость на госпрограмму, подпрограмму и мероприятие, а также ГРБС, мощность, код вида функционального назначения, планируемый срок ввода, объем необходимых бюджетных ассигнований и другие параметры);</w:t>
      </w:r>
    </w:p>
    <w:p w14:paraId="12BEF4ED" w14:textId="437B3EE8" w:rsidR="001C77DE" w:rsidRPr="00C62EAA" w:rsidRDefault="001C77DE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– факт проведения ГРБС проверки эффективности использования средств бюджета города Москвы на реализацию объекта;</w:t>
      </w:r>
    </w:p>
    <w:p w14:paraId="01481E92" w14:textId="3D896B2B" w:rsidR="001C77DE" w:rsidRPr="00C62EAA" w:rsidRDefault="001C77DE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– факт проведения публичного технологического и ценового аудита в</w:t>
      </w:r>
      <w:r w:rsidR="0043711F">
        <w:rPr>
          <w:sz w:val="28"/>
          <w:lang w:val="ru-RU"/>
        </w:rPr>
        <w:t> </w:t>
      </w:r>
      <w:r w:rsidRPr="00C62EAA">
        <w:rPr>
          <w:sz w:val="28"/>
          <w:lang w:val="ru-RU"/>
        </w:rPr>
        <w:t>отношении объекта стоимостью 1,0 млрд. рублей</w:t>
      </w:r>
      <w:r w:rsidR="003D44DB">
        <w:rPr>
          <w:sz w:val="28"/>
          <w:lang w:val="ru-RU"/>
        </w:rPr>
        <w:t xml:space="preserve"> и более</w:t>
      </w:r>
      <w:r w:rsidRPr="00C62EAA">
        <w:rPr>
          <w:sz w:val="28"/>
          <w:lang w:val="ru-RU"/>
        </w:rPr>
        <w:t>.</w:t>
      </w:r>
    </w:p>
    <w:p w14:paraId="3C0A5BCE" w14:textId="77777777" w:rsidR="0043711F" w:rsidRPr="0043711F" w:rsidRDefault="0043711F" w:rsidP="00B41494">
      <w:pPr>
        <w:widowControl w:val="0"/>
        <w:ind w:firstLine="709"/>
        <w:jc w:val="both"/>
        <w:rPr>
          <w:sz w:val="28"/>
          <w:lang w:val="ru-RU"/>
        </w:rPr>
      </w:pPr>
      <w:r w:rsidRPr="0043711F">
        <w:rPr>
          <w:sz w:val="28"/>
          <w:lang w:val="ru-RU"/>
        </w:rPr>
        <w:t xml:space="preserve">При проведении оценки необходимо учитывать, что в анализируемом </w:t>
      </w:r>
      <w:r w:rsidRPr="0043711F">
        <w:rPr>
          <w:sz w:val="28"/>
          <w:lang w:val="ru-RU"/>
        </w:rPr>
        <w:lastRenderedPageBreak/>
        <w:t>периоде действие отдельных требований Положения могло быть приостановлено.</w:t>
      </w:r>
    </w:p>
    <w:p w14:paraId="693C9670" w14:textId="0DB38BE4" w:rsidR="00446646" w:rsidRPr="00C62EAA" w:rsidRDefault="00446646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По результатам оценки могут быть выявлены соответствующие нарушения, классифицируемые в рамках разд.1.3 «Нарушения при реализации АИП и других мероприятий инвестиционного характера» Классификатора нарушений</w:t>
      </w:r>
      <w:r w:rsidRPr="00C62EAA">
        <w:rPr>
          <w:rStyle w:val="ac"/>
          <w:sz w:val="28"/>
          <w:lang w:val="ru-RU"/>
        </w:rPr>
        <w:footnoteReference w:id="10"/>
      </w:r>
      <w:r w:rsidRPr="00C62EAA">
        <w:rPr>
          <w:sz w:val="28"/>
          <w:lang w:val="ru-RU"/>
        </w:rPr>
        <w:t>.</w:t>
      </w:r>
    </w:p>
    <w:p w14:paraId="0FF2D08C" w14:textId="79061999" w:rsidR="008C1B9C" w:rsidRPr="00C62EAA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4</w:t>
      </w:r>
      <w:r w:rsidR="00A7694B" w:rsidRPr="00C62EAA">
        <w:rPr>
          <w:sz w:val="28"/>
          <w:lang w:val="ru-RU"/>
        </w:rPr>
        <w:t>.3. </w:t>
      </w:r>
      <w:r w:rsidR="008C1B9C" w:rsidRPr="00C62EAA">
        <w:rPr>
          <w:sz w:val="28"/>
          <w:lang w:val="ru-RU"/>
        </w:rPr>
        <w:t xml:space="preserve">Сравнение сроков реализации объекта проводится </w:t>
      </w:r>
      <w:r w:rsidR="00F81D47" w:rsidRPr="00C62EAA">
        <w:rPr>
          <w:sz w:val="28"/>
          <w:lang w:val="ru-RU"/>
        </w:rPr>
        <w:t>согласно АИП в</w:t>
      </w:r>
      <w:r w:rsidR="0016153B" w:rsidRPr="00C62EAA">
        <w:rPr>
          <w:sz w:val="28"/>
          <w:lang w:val="ru-RU"/>
        </w:rPr>
        <w:t> </w:t>
      </w:r>
      <w:r w:rsidR="00F81D47" w:rsidRPr="00C62EAA">
        <w:rPr>
          <w:sz w:val="28"/>
          <w:lang w:val="ru-RU"/>
        </w:rPr>
        <w:t>анализируемой и ранее действовавшей(</w:t>
      </w:r>
      <w:r w:rsidR="00B74294" w:rsidRPr="00C62EAA">
        <w:rPr>
          <w:sz w:val="28"/>
          <w:lang w:val="ru-RU"/>
        </w:rPr>
        <w:t>-</w:t>
      </w:r>
      <w:r w:rsidR="00F81D47" w:rsidRPr="00C62EAA">
        <w:rPr>
          <w:sz w:val="28"/>
          <w:lang w:val="ru-RU"/>
        </w:rPr>
        <w:t>их) редакции(</w:t>
      </w:r>
      <w:r w:rsidR="00B74294" w:rsidRPr="00C62EAA">
        <w:rPr>
          <w:sz w:val="28"/>
          <w:lang w:val="ru-RU"/>
        </w:rPr>
        <w:t>-</w:t>
      </w:r>
      <w:r w:rsidR="00F81D47" w:rsidRPr="00C62EAA">
        <w:rPr>
          <w:sz w:val="28"/>
          <w:lang w:val="ru-RU"/>
        </w:rPr>
        <w:t>ях).</w:t>
      </w:r>
      <w:r w:rsidR="00E2420F" w:rsidRPr="00C62EAA">
        <w:rPr>
          <w:sz w:val="28"/>
          <w:lang w:val="ru-RU"/>
        </w:rPr>
        <w:t xml:space="preserve"> Установление </w:t>
      </w:r>
      <w:r w:rsidR="0043711F">
        <w:rPr>
          <w:sz w:val="28"/>
          <w:lang w:val="ru-RU"/>
        </w:rPr>
        <w:t>фактов разночтений в сроках</w:t>
      </w:r>
      <w:r w:rsidR="00E2420F" w:rsidRPr="00C62EAA">
        <w:rPr>
          <w:sz w:val="28"/>
          <w:lang w:val="ru-RU"/>
        </w:rPr>
        <w:t xml:space="preserve"> влечет необходимость выявления соответствующих причин</w:t>
      </w:r>
      <w:r w:rsidR="009E3859" w:rsidRPr="00C62EAA">
        <w:rPr>
          <w:rStyle w:val="ac"/>
          <w:sz w:val="28"/>
          <w:lang w:val="ru-RU"/>
        </w:rPr>
        <w:footnoteReference w:id="11"/>
      </w:r>
      <w:r w:rsidR="00E2420F" w:rsidRPr="00C62EAA">
        <w:rPr>
          <w:sz w:val="28"/>
          <w:lang w:val="ru-RU"/>
        </w:rPr>
        <w:t xml:space="preserve">. </w:t>
      </w:r>
    </w:p>
    <w:p w14:paraId="093C066A" w14:textId="0B5101F4" w:rsidR="005919FA" w:rsidRPr="00C62EAA" w:rsidRDefault="00E2420F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 xml:space="preserve">При неоднократном переносе сроков может быть </w:t>
      </w:r>
      <w:r w:rsidR="0043711F">
        <w:rPr>
          <w:sz w:val="28"/>
          <w:lang w:val="ru-RU"/>
        </w:rPr>
        <w:t>исследован</w:t>
      </w:r>
      <w:r w:rsidR="009E3859" w:rsidRPr="00C62EAA">
        <w:rPr>
          <w:sz w:val="28"/>
          <w:lang w:val="ru-RU"/>
        </w:rPr>
        <w:t xml:space="preserve"> вопрос</w:t>
      </w:r>
      <w:r w:rsidRPr="00C62EAA">
        <w:rPr>
          <w:sz w:val="28"/>
          <w:lang w:val="ru-RU"/>
        </w:rPr>
        <w:t xml:space="preserve"> о целесообразности дальнейшей реализации объекта</w:t>
      </w:r>
      <w:r w:rsidR="0016153B" w:rsidRPr="00C62EAA">
        <w:rPr>
          <w:sz w:val="28"/>
          <w:lang w:val="ru-RU"/>
        </w:rPr>
        <w:t xml:space="preserve">, </w:t>
      </w:r>
      <w:r w:rsidR="005919FA" w:rsidRPr="00C62EAA">
        <w:rPr>
          <w:sz w:val="28"/>
          <w:lang w:val="ru-RU"/>
        </w:rPr>
        <w:t>при этом факт списания понесенных затрат в установленном порядке</w:t>
      </w:r>
      <w:r w:rsidR="005919FA" w:rsidRPr="00C62EAA">
        <w:rPr>
          <w:rStyle w:val="ac"/>
          <w:sz w:val="28"/>
          <w:lang w:val="ru-RU"/>
        </w:rPr>
        <w:footnoteReference w:id="12"/>
      </w:r>
      <w:r w:rsidR="005919FA" w:rsidRPr="00C62EAA">
        <w:rPr>
          <w:sz w:val="28"/>
          <w:lang w:val="ru-RU"/>
        </w:rPr>
        <w:t xml:space="preserve"> может быть классифицирован в</w:t>
      </w:r>
      <w:r w:rsidR="00A72AF6" w:rsidRPr="00C62EAA">
        <w:rPr>
          <w:sz w:val="28"/>
          <w:lang w:val="ru-RU"/>
        </w:rPr>
        <w:t> </w:t>
      </w:r>
      <w:r w:rsidR="005919FA" w:rsidRPr="00C62EAA">
        <w:rPr>
          <w:sz w:val="28"/>
          <w:lang w:val="ru-RU"/>
        </w:rPr>
        <w:t>качестве безрезультатных расходов бюджетных средств по п.9.1.3</w:t>
      </w:r>
      <w:r w:rsidR="005919FA" w:rsidRPr="00C62EAA">
        <w:rPr>
          <w:rStyle w:val="ac"/>
          <w:sz w:val="28"/>
          <w:lang w:val="ru-RU"/>
        </w:rPr>
        <w:footnoteReference w:id="13"/>
      </w:r>
      <w:r w:rsidR="005919FA" w:rsidRPr="00C62EAA">
        <w:rPr>
          <w:sz w:val="28"/>
          <w:lang w:val="ru-RU"/>
        </w:rPr>
        <w:t xml:space="preserve"> </w:t>
      </w:r>
      <w:bookmarkStart w:id="10" w:name="_Hlk138841197"/>
      <w:proofErr w:type="gramStart"/>
      <w:r w:rsidR="00A01850">
        <w:rPr>
          <w:sz w:val="28"/>
          <w:lang w:val="ru-RU"/>
        </w:rPr>
        <w:t>Методических рекомендаций</w:t>
      </w:r>
      <w:proofErr w:type="gramEnd"/>
      <w:r w:rsidR="00A01850">
        <w:rPr>
          <w:sz w:val="28"/>
          <w:lang w:val="ru-RU"/>
        </w:rPr>
        <w:t xml:space="preserve"> по оценке</w:t>
      </w:r>
      <w:r w:rsidR="005919FA" w:rsidRPr="00C62EAA">
        <w:rPr>
          <w:sz w:val="28"/>
          <w:lang w:val="ru-RU"/>
        </w:rPr>
        <w:t xml:space="preserve"> </w:t>
      </w:r>
      <w:bookmarkEnd w:id="10"/>
      <w:r w:rsidR="005919FA" w:rsidRPr="00C62EAA">
        <w:rPr>
          <w:sz w:val="28"/>
          <w:lang w:val="ru-RU"/>
        </w:rPr>
        <w:t>недостатков</w:t>
      </w:r>
      <w:bookmarkStart w:id="11" w:name="_Hlk129701328"/>
      <w:r w:rsidR="005919FA" w:rsidRPr="00C62EAA">
        <w:rPr>
          <w:rStyle w:val="ac"/>
          <w:sz w:val="28"/>
          <w:lang w:val="ru-RU"/>
        </w:rPr>
        <w:footnoteReference w:id="14"/>
      </w:r>
      <w:r w:rsidR="005919FA" w:rsidRPr="00C62EAA">
        <w:rPr>
          <w:sz w:val="28"/>
          <w:lang w:val="ru-RU"/>
        </w:rPr>
        <w:t>.</w:t>
      </w:r>
      <w:bookmarkEnd w:id="11"/>
    </w:p>
    <w:p w14:paraId="4905C9FF" w14:textId="49CC3C2C" w:rsidR="0004295B" w:rsidRPr="00C62EAA" w:rsidRDefault="0004295B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П</w:t>
      </w:r>
      <w:r w:rsidR="0016153B" w:rsidRPr="00C62EAA">
        <w:rPr>
          <w:sz w:val="28"/>
          <w:lang w:val="ru-RU"/>
        </w:rPr>
        <w:t xml:space="preserve">о объектам, сроки реализации которых с учетом переносов составляют 10 и более лет, следует </w:t>
      </w:r>
      <w:r w:rsidR="005919FA" w:rsidRPr="00C62EAA">
        <w:rPr>
          <w:sz w:val="28"/>
          <w:lang w:val="ru-RU"/>
        </w:rPr>
        <w:t>определить факт проведения</w:t>
      </w:r>
      <w:r w:rsidRPr="00C62EAA">
        <w:rPr>
          <w:sz w:val="28"/>
          <w:lang w:val="ru-RU"/>
        </w:rPr>
        <w:t xml:space="preserve"> </w:t>
      </w:r>
      <w:r w:rsidR="0016153B" w:rsidRPr="00C62EAA">
        <w:rPr>
          <w:sz w:val="28"/>
          <w:lang w:val="ru-RU"/>
        </w:rPr>
        <w:t>консервации, установить объем затрат на охрану и содержание</w:t>
      </w:r>
      <w:r w:rsidR="005919FA" w:rsidRPr="00C62EAA">
        <w:rPr>
          <w:sz w:val="28"/>
          <w:lang w:val="ru-RU"/>
        </w:rPr>
        <w:t>,</w:t>
      </w:r>
      <w:r w:rsidRPr="00C62EAA">
        <w:rPr>
          <w:sz w:val="28"/>
          <w:lang w:val="ru-RU"/>
        </w:rPr>
        <w:t xml:space="preserve"> которые могут быть классифицированы в качестве избыточных</w:t>
      </w:r>
      <w:r w:rsidR="005919FA" w:rsidRPr="00C62EAA">
        <w:rPr>
          <w:sz w:val="28"/>
          <w:lang w:val="ru-RU"/>
        </w:rPr>
        <w:t xml:space="preserve"> расходов бюджетных средств по п.9.2.6 </w:t>
      </w:r>
      <w:proofErr w:type="gramStart"/>
      <w:r w:rsidR="00A01850">
        <w:rPr>
          <w:sz w:val="28"/>
          <w:lang w:val="ru-RU"/>
        </w:rPr>
        <w:t>Методических рекомендаций</w:t>
      </w:r>
      <w:proofErr w:type="gramEnd"/>
      <w:r w:rsidR="00A01850">
        <w:rPr>
          <w:sz w:val="28"/>
          <w:lang w:val="ru-RU"/>
        </w:rPr>
        <w:t xml:space="preserve"> по оценке</w:t>
      </w:r>
      <w:r w:rsidR="00A01850" w:rsidRPr="00C62EAA">
        <w:rPr>
          <w:sz w:val="28"/>
          <w:lang w:val="ru-RU"/>
        </w:rPr>
        <w:t xml:space="preserve"> </w:t>
      </w:r>
      <w:r w:rsidR="005919FA" w:rsidRPr="00C62EAA">
        <w:rPr>
          <w:sz w:val="28"/>
          <w:lang w:val="ru-RU"/>
        </w:rPr>
        <w:t>недостатков</w:t>
      </w:r>
      <w:r w:rsidR="00A01850" w:rsidRPr="00C62EAA">
        <w:rPr>
          <w:rStyle w:val="ac"/>
          <w:sz w:val="28"/>
          <w:lang w:val="ru-RU"/>
        </w:rPr>
        <w:footnoteReference w:id="15"/>
      </w:r>
      <w:r w:rsidR="00A01850" w:rsidRPr="00C62EAA">
        <w:rPr>
          <w:sz w:val="28"/>
          <w:lang w:val="ru-RU"/>
        </w:rPr>
        <w:t>.</w:t>
      </w:r>
    </w:p>
    <w:p w14:paraId="2ED5C2FA" w14:textId="34FB4EB0" w:rsidR="0004295B" w:rsidRPr="00C62EAA" w:rsidRDefault="0004295B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При анализе показателей АИП, представленной одновременно с</w:t>
      </w:r>
      <w:r w:rsidR="0082362A" w:rsidRPr="00C62EAA">
        <w:rPr>
          <w:sz w:val="28"/>
          <w:lang w:val="ru-RU"/>
        </w:rPr>
        <w:t> </w:t>
      </w:r>
      <w:r w:rsidRPr="00C62EAA">
        <w:rPr>
          <w:sz w:val="28"/>
          <w:lang w:val="ru-RU"/>
        </w:rPr>
        <w:t xml:space="preserve">проектом </w:t>
      </w:r>
      <w:r w:rsidR="00A01850">
        <w:rPr>
          <w:sz w:val="28"/>
          <w:lang w:val="ru-RU"/>
        </w:rPr>
        <w:t>З</w:t>
      </w:r>
      <w:r w:rsidRPr="00C62EAA">
        <w:rPr>
          <w:sz w:val="28"/>
          <w:lang w:val="ru-RU"/>
        </w:rPr>
        <w:t xml:space="preserve">акона </w:t>
      </w:r>
      <w:r w:rsidR="00A01850">
        <w:rPr>
          <w:sz w:val="28"/>
          <w:lang w:val="ru-RU"/>
        </w:rPr>
        <w:t xml:space="preserve">города Москвы </w:t>
      </w:r>
      <w:r w:rsidRPr="00C62EAA">
        <w:rPr>
          <w:sz w:val="28"/>
          <w:lang w:val="ru-RU"/>
        </w:rPr>
        <w:t xml:space="preserve">о бюджете города Москвы на очередной год и плановый период, при переносе сроков необходимо оценить также </w:t>
      </w:r>
      <w:r w:rsidR="00A01850">
        <w:rPr>
          <w:sz w:val="28"/>
          <w:lang w:val="ru-RU"/>
        </w:rPr>
        <w:t>своевременность</w:t>
      </w:r>
      <w:r w:rsidRPr="00C62EAA">
        <w:rPr>
          <w:sz w:val="28"/>
          <w:lang w:val="ru-RU"/>
        </w:rPr>
        <w:t xml:space="preserve"> переноса объемов бюджетного финансирования на следующие периоды</w:t>
      </w:r>
      <w:r w:rsidRPr="00C62EAA">
        <w:rPr>
          <w:rStyle w:val="ac"/>
          <w:sz w:val="28"/>
          <w:lang w:val="ru-RU"/>
        </w:rPr>
        <w:footnoteReference w:id="16"/>
      </w:r>
      <w:r w:rsidRPr="00C62EAA">
        <w:rPr>
          <w:sz w:val="28"/>
          <w:lang w:val="ru-RU"/>
        </w:rPr>
        <w:t>.</w:t>
      </w:r>
    </w:p>
    <w:p w14:paraId="2077701D" w14:textId="5954BE32" w:rsidR="008F37FD" w:rsidRPr="00C62EAA" w:rsidRDefault="008F37FD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 xml:space="preserve">4.4. Оценка своевременности начала строительно-монтажных </w:t>
      </w:r>
      <w:r w:rsidR="00BF4527" w:rsidRPr="00C62EAA">
        <w:rPr>
          <w:sz w:val="28"/>
          <w:lang w:val="ru-RU"/>
        </w:rPr>
        <w:t>работ</w:t>
      </w:r>
      <w:r w:rsidRPr="00C62EAA">
        <w:rPr>
          <w:sz w:val="28"/>
          <w:lang w:val="ru-RU"/>
        </w:rPr>
        <w:t xml:space="preserve"> проводится в отношении объектов, по которым в АИП установлены значительные временные интервалы (от двух лет) между окончанием проектно-изыскательских работ и началом строительно-монтажных работ</w:t>
      </w:r>
      <w:r w:rsidR="0066218F" w:rsidRPr="00C62EAA">
        <w:rPr>
          <w:rStyle w:val="ac"/>
          <w:sz w:val="28"/>
          <w:lang w:val="ru-RU"/>
        </w:rPr>
        <w:footnoteReference w:id="17"/>
      </w:r>
      <w:r w:rsidRPr="00C62EAA">
        <w:rPr>
          <w:sz w:val="28"/>
          <w:lang w:val="ru-RU"/>
        </w:rPr>
        <w:t xml:space="preserve">. </w:t>
      </w:r>
    </w:p>
    <w:p w14:paraId="0D667C7F" w14:textId="160757DF" w:rsidR="002313B0" w:rsidRPr="00C62EAA" w:rsidRDefault="00BF4527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lastRenderedPageBreak/>
        <w:t xml:space="preserve">В рамках оценки подлежит определению факт утраты актуальности разработанной проектно-сметной документации и/или технических условий, выданных ресурсоснабжающими организациями, и, как следствие, </w:t>
      </w:r>
      <w:r w:rsidR="001E47C8">
        <w:rPr>
          <w:sz w:val="28"/>
          <w:lang w:val="ru-RU"/>
        </w:rPr>
        <w:t xml:space="preserve">необходимости </w:t>
      </w:r>
      <w:r w:rsidRPr="00C62EAA">
        <w:rPr>
          <w:sz w:val="28"/>
          <w:lang w:val="ru-RU"/>
        </w:rPr>
        <w:t>их актуализации</w:t>
      </w:r>
      <w:r w:rsidR="00716D55">
        <w:rPr>
          <w:rStyle w:val="ac"/>
          <w:sz w:val="28"/>
          <w:lang w:val="ru-RU"/>
        </w:rPr>
        <w:footnoteReference w:id="18"/>
      </w:r>
      <w:r w:rsidRPr="00C62EAA">
        <w:rPr>
          <w:sz w:val="28"/>
          <w:lang w:val="ru-RU"/>
        </w:rPr>
        <w:t xml:space="preserve">. Затраты на разработку указанных документов могут </w:t>
      </w:r>
      <w:r w:rsidR="002313B0" w:rsidRPr="00C62EAA">
        <w:rPr>
          <w:sz w:val="28"/>
          <w:lang w:val="ru-RU"/>
        </w:rPr>
        <w:t>свидетельствовать о рисках безрезультатных расходов бюджетных средств по п.9.1.2</w:t>
      </w:r>
      <w:r w:rsidR="00A01850" w:rsidRPr="00C62EAA">
        <w:rPr>
          <w:rStyle w:val="ac"/>
          <w:sz w:val="28"/>
          <w:lang w:val="ru-RU"/>
        </w:rPr>
        <w:footnoteReference w:id="19"/>
      </w:r>
      <w:r w:rsidR="002313B0" w:rsidRPr="00C62EAA">
        <w:rPr>
          <w:sz w:val="28"/>
          <w:lang w:val="ru-RU"/>
        </w:rPr>
        <w:t xml:space="preserve"> </w:t>
      </w:r>
      <w:proofErr w:type="gramStart"/>
      <w:r w:rsidR="00A01850" w:rsidRPr="00A01850">
        <w:rPr>
          <w:sz w:val="28"/>
          <w:lang w:val="ru-RU"/>
        </w:rPr>
        <w:t>Методических рекомендаций</w:t>
      </w:r>
      <w:proofErr w:type="gramEnd"/>
      <w:r w:rsidR="00A01850" w:rsidRPr="00A01850">
        <w:rPr>
          <w:sz w:val="28"/>
          <w:lang w:val="ru-RU"/>
        </w:rPr>
        <w:t xml:space="preserve"> по оценке</w:t>
      </w:r>
      <w:r w:rsidR="002313B0" w:rsidRPr="00C62EAA">
        <w:rPr>
          <w:sz w:val="28"/>
          <w:lang w:val="ru-RU"/>
        </w:rPr>
        <w:t xml:space="preserve"> недостатков.</w:t>
      </w:r>
    </w:p>
    <w:p w14:paraId="3DB514E3" w14:textId="255DE6D0" w:rsidR="0097624F" w:rsidRPr="00C62EAA" w:rsidRDefault="002510FE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>4</w:t>
      </w:r>
      <w:r w:rsidR="00876ED0" w:rsidRPr="00C62EAA">
        <w:rPr>
          <w:sz w:val="28"/>
          <w:lang w:val="ru-RU"/>
        </w:rPr>
        <w:t>.</w:t>
      </w:r>
      <w:r w:rsidR="0066218F" w:rsidRPr="00C62EAA">
        <w:rPr>
          <w:sz w:val="28"/>
          <w:lang w:val="ru-RU"/>
        </w:rPr>
        <w:t>5</w:t>
      </w:r>
      <w:r w:rsidR="00876ED0" w:rsidRPr="00C62EAA">
        <w:rPr>
          <w:sz w:val="28"/>
          <w:lang w:val="ru-RU"/>
        </w:rPr>
        <w:t>. Оценка своевременности корректировок лимитов бюджетного финансирования по объектам, введенным в эксплуатацию</w:t>
      </w:r>
      <w:r w:rsidR="0097624F" w:rsidRPr="00C62EAA">
        <w:rPr>
          <w:sz w:val="28"/>
          <w:lang w:val="ru-RU"/>
        </w:rPr>
        <w:t>, проводится посредством установления фактической стоимости строительства таких объектов</w:t>
      </w:r>
      <w:r w:rsidR="0097624F" w:rsidRPr="00C62EAA">
        <w:rPr>
          <w:rStyle w:val="ac"/>
          <w:sz w:val="28"/>
          <w:lang w:val="ru-RU"/>
        </w:rPr>
        <w:footnoteReference w:id="20"/>
      </w:r>
      <w:r w:rsidR="0097624F" w:rsidRPr="00C62EAA">
        <w:rPr>
          <w:sz w:val="28"/>
          <w:lang w:val="ru-RU"/>
        </w:rPr>
        <w:t xml:space="preserve"> и ее сравнении с суммой, определенной АИП</w:t>
      </w:r>
      <w:r w:rsidR="0097624F" w:rsidRPr="00C62EAA">
        <w:rPr>
          <w:sz w:val="28"/>
          <w:szCs w:val="16"/>
          <w:lang w:val="ru-RU"/>
        </w:rPr>
        <w:t>:</w:t>
      </w:r>
    </w:p>
    <w:tbl>
      <w:tblPr>
        <w:tblStyle w:val="2"/>
        <w:tblpPr w:leftFromText="180" w:rightFromText="180" w:vertAnchor="text" w:horzAnchor="margin" w:tblpY="75"/>
        <w:tblW w:w="9351" w:type="dxa"/>
        <w:tblLook w:val="04A0" w:firstRow="1" w:lastRow="0" w:firstColumn="1" w:lastColumn="0" w:noHBand="0" w:noVBand="1"/>
      </w:tblPr>
      <w:tblGrid>
        <w:gridCol w:w="504"/>
        <w:gridCol w:w="1900"/>
        <w:gridCol w:w="1276"/>
        <w:gridCol w:w="1418"/>
        <w:gridCol w:w="1985"/>
        <w:gridCol w:w="2268"/>
      </w:tblGrid>
      <w:tr w:rsidR="0097624F" w:rsidRPr="00C62EAA" w14:paraId="2F3C4219" w14:textId="77777777" w:rsidTr="008926FB">
        <w:trPr>
          <w:trHeight w:val="613"/>
        </w:trPr>
        <w:tc>
          <w:tcPr>
            <w:tcW w:w="504" w:type="dxa"/>
            <w:vAlign w:val="center"/>
            <w:hideMark/>
          </w:tcPr>
          <w:p w14:paraId="50F891EF" w14:textId="77777777" w:rsidR="0097624F" w:rsidRPr="00C62EAA" w:rsidRDefault="0097624F" w:rsidP="00B41494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C62EA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00" w:type="dxa"/>
            <w:vAlign w:val="center"/>
            <w:hideMark/>
          </w:tcPr>
          <w:p w14:paraId="6B035A35" w14:textId="77777777" w:rsidR="0097624F" w:rsidRPr="00C62EAA" w:rsidRDefault="0097624F" w:rsidP="00B41494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C62EAA">
              <w:rPr>
                <w:b/>
                <w:sz w:val="16"/>
                <w:szCs w:val="16"/>
                <w:lang w:val="ru-RU"/>
              </w:rPr>
              <w:t>Наименование объекта</w:t>
            </w:r>
          </w:p>
        </w:tc>
        <w:tc>
          <w:tcPr>
            <w:tcW w:w="1276" w:type="dxa"/>
            <w:vAlign w:val="center"/>
            <w:hideMark/>
          </w:tcPr>
          <w:p w14:paraId="7AA8A208" w14:textId="77777777" w:rsidR="0097624F" w:rsidRPr="00C62EAA" w:rsidRDefault="0097624F" w:rsidP="00B41494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C62EAA">
              <w:rPr>
                <w:b/>
                <w:sz w:val="16"/>
                <w:szCs w:val="16"/>
                <w:lang w:val="ru-RU"/>
              </w:rPr>
              <w:t>Дата ввода в эксплуатацию</w:t>
            </w:r>
          </w:p>
        </w:tc>
        <w:tc>
          <w:tcPr>
            <w:tcW w:w="1418" w:type="dxa"/>
            <w:vAlign w:val="center"/>
            <w:hideMark/>
          </w:tcPr>
          <w:p w14:paraId="325CF3A2" w14:textId="77777777" w:rsidR="0097624F" w:rsidRPr="00C62EAA" w:rsidRDefault="0097624F" w:rsidP="00B41494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C62EAA">
              <w:rPr>
                <w:b/>
                <w:sz w:val="16"/>
                <w:szCs w:val="16"/>
                <w:lang w:val="ru-RU"/>
              </w:rPr>
              <w:t>Лимиты в соответствии с АИП</w:t>
            </w:r>
          </w:p>
        </w:tc>
        <w:tc>
          <w:tcPr>
            <w:tcW w:w="1985" w:type="dxa"/>
            <w:vAlign w:val="center"/>
            <w:hideMark/>
          </w:tcPr>
          <w:p w14:paraId="32FB68E4" w14:textId="77777777" w:rsidR="0097624F" w:rsidRPr="00C62EAA" w:rsidRDefault="0097624F" w:rsidP="00B41494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C62EAA">
              <w:rPr>
                <w:b/>
                <w:sz w:val="16"/>
                <w:szCs w:val="16"/>
                <w:lang w:val="ru-RU"/>
              </w:rPr>
              <w:t>Итоговая стоимость проектирования и строительства объекта</w:t>
            </w:r>
          </w:p>
        </w:tc>
        <w:tc>
          <w:tcPr>
            <w:tcW w:w="2268" w:type="dxa"/>
            <w:vAlign w:val="center"/>
            <w:hideMark/>
          </w:tcPr>
          <w:p w14:paraId="71F3C0E7" w14:textId="565C303B" w:rsidR="0097624F" w:rsidRPr="00C62EAA" w:rsidRDefault="0097624F" w:rsidP="00B41494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C62EAA">
              <w:rPr>
                <w:b/>
                <w:sz w:val="16"/>
                <w:szCs w:val="16"/>
                <w:lang w:val="ru-RU"/>
              </w:rPr>
              <w:t xml:space="preserve">Объем превышения </w:t>
            </w:r>
            <w:r w:rsidR="00A01850">
              <w:rPr>
                <w:b/>
                <w:sz w:val="16"/>
                <w:szCs w:val="16"/>
                <w:lang w:val="ru-RU"/>
              </w:rPr>
              <w:t xml:space="preserve">суммы </w:t>
            </w:r>
            <w:r w:rsidRPr="00C62EAA">
              <w:rPr>
                <w:b/>
                <w:sz w:val="16"/>
                <w:szCs w:val="16"/>
                <w:lang w:val="ru-RU"/>
              </w:rPr>
              <w:t>лимитов над итоговой стоимостью (гр.4-5)</w:t>
            </w:r>
          </w:p>
        </w:tc>
      </w:tr>
      <w:tr w:rsidR="0097624F" w:rsidRPr="00C62EAA" w14:paraId="339D95DD" w14:textId="77777777" w:rsidTr="008926FB">
        <w:trPr>
          <w:trHeight w:val="142"/>
        </w:trPr>
        <w:tc>
          <w:tcPr>
            <w:tcW w:w="504" w:type="dxa"/>
          </w:tcPr>
          <w:p w14:paraId="35C08D61" w14:textId="77777777" w:rsidR="0097624F" w:rsidRPr="00C62EAA" w:rsidRDefault="0097624F" w:rsidP="00B41494">
            <w:pPr>
              <w:widowControl w:val="0"/>
              <w:jc w:val="center"/>
              <w:rPr>
                <w:i/>
                <w:sz w:val="12"/>
                <w:szCs w:val="20"/>
              </w:rPr>
            </w:pPr>
            <w:r w:rsidRPr="00C62EAA">
              <w:rPr>
                <w:i/>
                <w:sz w:val="12"/>
                <w:szCs w:val="20"/>
              </w:rPr>
              <w:t>1</w:t>
            </w:r>
          </w:p>
        </w:tc>
        <w:tc>
          <w:tcPr>
            <w:tcW w:w="1900" w:type="dxa"/>
          </w:tcPr>
          <w:p w14:paraId="36FC82FA" w14:textId="77777777" w:rsidR="0097624F" w:rsidRPr="00C62EAA" w:rsidRDefault="0097624F" w:rsidP="00B41494">
            <w:pPr>
              <w:widowControl w:val="0"/>
              <w:jc w:val="center"/>
              <w:rPr>
                <w:i/>
                <w:sz w:val="12"/>
                <w:szCs w:val="20"/>
              </w:rPr>
            </w:pPr>
            <w:r w:rsidRPr="00C62EAA">
              <w:rPr>
                <w:i/>
                <w:sz w:val="12"/>
                <w:szCs w:val="20"/>
              </w:rPr>
              <w:t>2</w:t>
            </w:r>
          </w:p>
        </w:tc>
        <w:tc>
          <w:tcPr>
            <w:tcW w:w="1276" w:type="dxa"/>
          </w:tcPr>
          <w:p w14:paraId="10398844" w14:textId="77777777" w:rsidR="0097624F" w:rsidRPr="00C62EAA" w:rsidRDefault="0097624F" w:rsidP="00B41494">
            <w:pPr>
              <w:widowControl w:val="0"/>
              <w:jc w:val="center"/>
              <w:rPr>
                <w:i/>
                <w:sz w:val="12"/>
                <w:szCs w:val="20"/>
              </w:rPr>
            </w:pPr>
            <w:r w:rsidRPr="00C62EAA">
              <w:rPr>
                <w:i/>
                <w:sz w:val="12"/>
                <w:szCs w:val="20"/>
              </w:rPr>
              <w:t>3</w:t>
            </w:r>
          </w:p>
        </w:tc>
        <w:tc>
          <w:tcPr>
            <w:tcW w:w="1418" w:type="dxa"/>
          </w:tcPr>
          <w:p w14:paraId="0A2D4B35" w14:textId="77777777" w:rsidR="0097624F" w:rsidRPr="00C62EAA" w:rsidRDefault="0097624F" w:rsidP="00B41494">
            <w:pPr>
              <w:widowControl w:val="0"/>
              <w:jc w:val="center"/>
              <w:rPr>
                <w:i/>
                <w:sz w:val="12"/>
                <w:szCs w:val="20"/>
              </w:rPr>
            </w:pPr>
            <w:r w:rsidRPr="00C62EAA">
              <w:rPr>
                <w:i/>
                <w:sz w:val="12"/>
                <w:szCs w:val="20"/>
              </w:rPr>
              <w:t>4</w:t>
            </w:r>
          </w:p>
        </w:tc>
        <w:tc>
          <w:tcPr>
            <w:tcW w:w="1985" w:type="dxa"/>
          </w:tcPr>
          <w:p w14:paraId="06AAF411" w14:textId="77777777" w:rsidR="0097624F" w:rsidRPr="00C62EAA" w:rsidRDefault="0097624F" w:rsidP="00B41494">
            <w:pPr>
              <w:widowControl w:val="0"/>
              <w:jc w:val="center"/>
              <w:rPr>
                <w:i/>
                <w:sz w:val="12"/>
                <w:szCs w:val="20"/>
              </w:rPr>
            </w:pPr>
            <w:r w:rsidRPr="00C62EAA">
              <w:rPr>
                <w:i/>
                <w:sz w:val="12"/>
                <w:szCs w:val="20"/>
              </w:rPr>
              <w:t>5</w:t>
            </w:r>
          </w:p>
        </w:tc>
        <w:tc>
          <w:tcPr>
            <w:tcW w:w="2268" w:type="dxa"/>
          </w:tcPr>
          <w:p w14:paraId="6761F269" w14:textId="77777777" w:rsidR="0097624F" w:rsidRPr="00C62EAA" w:rsidRDefault="0097624F" w:rsidP="00B41494">
            <w:pPr>
              <w:widowControl w:val="0"/>
              <w:jc w:val="center"/>
              <w:rPr>
                <w:i/>
                <w:sz w:val="12"/>
                <w:szCs w:val="20"/>
              </w:rPr>
            </w:pPr>
            <w:r w:rsidRPr="00C62EAA">
              <w:rPr>
                <w:i/>
                <w:sz w:val="12"/>
                <w:szCs w:val="20"/>
              </w:rPr>
              <w:t>6</w:t>
            </w:r>
          </w:p>
        </w:tc>
      </w:tr>
      <w:tr w:rsidR="0097624F" w:rsidRPr="00C62EAA" w14:paraId="16821884" w14:textId="77777777" w:rsidTr="008926FB">
        <w:trPr>
          <w:trHeight w:val="142"/>
        </w:trPr>
        <w:tc>
          <w:tcPr>
            <w:tcW w:w="504" w:type="dxa"/>
          </w:tcPr>
          <w:p w14:paraId="3F8B1275" w14:textId="77777777" w:rsidR="0097624F" w:rsidRPr="00C62EAA" w:rsidRDefault="0097624F" w:rsidP="00B41494">
            <w:pPr>
              <w:widowControl w:val="0"/>
              <w:jc w:val="center"/>
              <w:rPr>
                <w:sz w:val="16"/>
                <w:szCs w:val="20"/>
                <w:lang w:val="ru-RU"/>
              </w:rPr>
            </w:pPr>
            <w:r w:rsidRPr="00C62EAA">
              <w:rPr>
                <w:sz w:val="16"/>
                <w:szCs w:val="20"/>
                <w:lang w:val="ru-RU"/>
              </w:rPr>
              <w:t>1.</w:t>
            </w:r>
          </w:p>
        </w:tc>
        <w:tc>
          <w:tcPr>
            <w:tcW w:w="1900" w:type="dxa"/>
          </w:tcPr>
          <w:p w14:paraId="554FDDCE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3FD16BA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F5DD72E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E14D20E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FCB54D3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</w:tr>
      <w:tr w:rsidR="0097624F" w:rsidRPr="00C62EAA" w14:paraId="6C040763" w14:textId="77777777" w:rsidTr="008926FB">
        <w:trPr>
          <w:trHeight w:val="142"/>
        </w:trPr>
        <w:tc>
          <w:tcPr>
            <w:tcW w:w="504" w:type="dxa"/>
          </w:tcPr>
          <w:p w14:paraId="17F34F15" w14:textId="77777777" w:rsidR="0097624F" w:rsidRPr="00C62EAA" w:rsidRDefault="0097624F" w:rsidP="00B41494">
            <w:pPr>
              <w:widowControl w:val="0"/>
              <w:jc w:val="center"/>
              <w:rPr>
                <w:sz w:val="16"/>
                <w:szCs w:val="20"/>
              </w:rPr>
            </w:pPr>
            <w:r w:rsidRPr="00C62EAA">
              <w:rPr>
                <w:sz w:val="16"/>
                <w:szCs w:val="20"/>
              </w:rPr>
              <w:t>N</w:t>
            </w:r>
          </w:p>
        </w:tc>
        <w:tc>
          <w:tcPr>
            <w:tcW w:w="1900" w:type="dxa"/>
          </w:tcPr>
          <w:p w14:paraId="6C2D84E9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950C5E6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AC4C7B9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0A2EBC68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DFE9E19" w14:textId="77777777" w:rsidR="0097624F" w:rsidRPr="00C62EAA" w:rsidRDefault="0097624F" w:rsidP="00B41494">
            <w:pPr>
              <w:widowControl w:val="0"/>
              <w:jc w:val="both"/>
              <w:rPr>
                <w:sz w:val="16"/>
                <w:szCs w:val="20"/>
                <w:lang w:val="ru-RU"/>
              </w:rPr>
            </w:pPr>
          </w:p>
        </w:tc>
      </w:tr>
    </w:tbl>
    <w:p w14:paraId="364F8B22" w14:textId="480ACD7D" w:rsidR="005919FA" w:rsidRPr="00C62EAA" w:rsidRDefault="0097624F" w:rsidP="00B41494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 xml:space="preserve">Результаты оценки могут свидетельствовать о риске избыточных </w:t>
      </w:r>
      <w:r w:rsidR="006D54B0" w:rsidRPr="00C62EAA">
        <w:rPr>
          <w:sz w:val="28"/>
          <w:lang w:val="ru-RU"/>
        </w:rPr>
        <w:t>расходов</w:t>
      </w:r>
      <w:r w:rsidRPr="00C62EAA">
        <w:rPr>
          <w:sz w:val="28"/>
          <w:lang w:val="ru-RU"/>
        </w:rPr>
        <w:t xml:space="preserve"> бюджетных средств</w:t>
      </w:r>
      <w:r w:rsidR="005919FA" w:rsidRPr="00C62EAA">
        <w:rPr>
          <w:sz w:val="28"/>
          <w:lang w:val="ru-RU"/>
        </w:rPr>
        <w:t xml:space="preserve"> и классифицироваться по п.9.5.1</w:t>
      </w:r>
      <w:r w:rsidR="009C7372" w:rsidRPr="00C62EAA">
        <w:rPr>
          <w:rStyle w:val="ac"/>
          <w:sz w:val="28"/>
          <w:lang w:val="ru-RU"/>
        </w:rPr>
        <w:footnoteReference w:id="21"/>
      </w:r>
      <w:r w:rsidR="009C7372" w:rsidRPr="00C62EAA">
        <w:rPr>
          <w:sz w:val="28"/>
          <w:lang w:val="ru-RU"/>
        </w:rPr>
        <w:t xml:space="preserve"> </w:t>
      </w:r>
      <w:r w:rsidR="00A01850" w:rsidRPr="00A01850">
        <w:rPr>
          <w:sz w:val="28"/>
          <w:lang w:val="ru-RU"/>
        </w:rPr>
        <w:t>Методических рекомендаций по оценке</w:t>
      </w:r>
      <w:r w:rsidR="009C7372" w:rsidRPr="00C62EAA">
        <w:rPr>
          <w:sz w:val="28"/>
          <w:lang w:val="ru-RU"/>
        </w:rPr>
        <w:t xml:space="preserve"> недостатков (факт предотвращения фиксируется при внесении соответствующих изменений в АИП).</w:t>
      </w:r>
    </w:p>
    <w:p w14:paraId="3825B635" w14:textId="02A5BB80" w:rsidR="00FF2368" w:rsidRPr="00FF2368" w:rsidRDefault="00A85AE7" w:rsidP="0019323D">
      <w:pPr>
        <w:widowControl w:val="0"/>
        <w:ind w:firstLine="709"/>
        <w:jc w:val="both"/>
        <w:rPr>
          <w:sz w:val="28"/>
          <w:lang w:val="ru-RU"/>
        </w:rPr>
      </w:pPr>
      <w:r w:rsidRPr="00FF2368">
        <w:rPr>
          <w:sz w:val="28"/>
          <w:lang w:val="ru-RU"/>
        </w:rPr>
        <w:t>4</w:t>
      </w:r>
      <w:r w:rsidR="0097624F" w:rsidRPr="00FF2368">
        <w:rPr>
          <w:sz w:val="28"/>
          <w:lang w:val="ru-RU"/>
        </w:rPr>
        <w:t>.</w:t>
      </w:r>
      <w:r w:rsidR="0066218F" w:rsidRPr="00FF2368">
        <w:rPr>
          <w:sz w:val="28"/>
          <w:lang w:val="ru-RU"/>
        </w:rPr>
        <w:t>6</w:t>
      </w:r>
      <w:r w:rsidR="0097624F" w:rsidRPr="00FF2368">
        <w:rPr>
          <w:sz w:val="28"/>
          <w:lang w:val="ru-RU"/>
        </w:rPr>
        <w:t>. Анализ обоснованности увеличения стоимости реализации объекта проводится</w:t>
      </w:r>
      <w:r w:rsidR="001C77DE" w:rsidRPr="00FF2368">
        <w:rPr>
          <w:sz w:val="28"/>
          <w:lang w:val="ru-RU"/>
        </w:rPr>
        <w:t xml:space="preserve">, как правило, при </w:t>
      </w:r>
      <w:r w:rsidR="006D54B0" w:rsidRPr="00FF2368">
        <w:rPr>
          <w:sz w:val="28"/>
          <w:lang w:val="ru-RU"/>
        </w:rPr>
        <w:t xml:space="preserve">ее </w:t>
      </w:r>
      <w:r w:rsidR="001C77DE" w:rsidRPr="00FF2368">
        <w:rPr>
          <w:sz w:val="28"/>
          <w:lang w:val="ru-RU"/>
        </w:rPr>
        <w:t>изменении более чем на 10,0 процента от</w:t>
      </w:r>
      <w:r w:rsidR="006D54B0" w:rsidRPr="00FF2368">
        <w:rPr>
          <w:sz w:val="28"/>
          <w:lang w:val="ru-RU"/>
        </w:rPr>
        <w:t> </w:t>
      </w:r>
      <w:r w:rsidR="001C77DE" w:rsidRPr="00FF2368">
        <w:rPr>
          <w:sz w:val="28"/>
          <w:lang w:val="ru-RU"/>
        </w:rPr>
        <w:t>первоначально</w:t>
      </w:r>
      <w:r w:rsidR="006D54B0" w:rsidRPr="00FF2368">
        <w:rPr>
          <w:sz w:val="28"/>
          <w:lang w:val="ru-RU"/>
        </w:rPr>
        <w:t xml:space="preserve"> определенных плановых объемов затрат</w:t>
      </w:r>
      <w:r w:rsidR="008926FB" w:rsidRPr="00FF2368">
        <w:rPr>
          <w:sz w:val="28"/>
          <w:lang w:val="ru-RU"/>
        </w:rPr>
        <w:t xml:space="preserve"> по видам работ (мероприятиям)</w:t>
      </w:r>
      <w:r w:rsidR="00F23187" w:rsidRPr="00FF2368">
        <w:rPr>
          <w:sz w:val="28"/>
          <w:lang w:val="ru-RU"/>
        </w:rPr>
        <w:t>.</w:t>
      </w:r>
      <w:r w:rsidR="0019323D" w:rsidRPr="00FF2368">
        <w:rPr>
          <w:sz w:val="28"/>
          <w:lang w:val="ru-RU"/>
        </w:rPr>
        <w:t xml:space="preserve"> </w:t>
      </w:r>
      <w:r w:rsidR="00435085" w:rsidRPr="00FF2368">
        <w:rPr>
          <w:sz w:val="28"/>
          <w:lang w:val="ru-RU"/>
        </w:rPr>
        <w:t>Возможные причины увеличения стоимости</w:t>
      </w:r>
      <w:r w:rsidR="00FF2368" w:rsidRPr="00FF2368">
        <w:rPr>
          <w:sz w:val="28"/>
          <w:lang w:val="ru-RU"/>
        </w:rPr>
        <w:t>, соответствующие им факторы и виды негативных последствий неправомерного/неэффективного использования бюджетных средств приведены в приложении 4 к настоящим Методическим рекомендациям.</w:t>
      </w:r>
    </w:p>
    <w:p w14:paraId="4DF8147E" w14:textId="5AD077D6" w:rsidR="001C77DE" w:rsidRPr="00C62EAA" w:rsidRDefault="00A85AE7" w:rsidP="00B41494">
      <w:pPr>
        <w:widowControl w:val="0"/>
        <w:ind w:firstLine="709"/>
        <w:jc w:val="both"/>
        <w:rPr>
          <w:sz w:val="28"/>
          <w:lang w:val="ru-RU"/>
        </w:rPr>
      </w:pPr>
      <w:bookmarkStart w:id="12" w:name="_Hlk129253601"/>
      <w:r w:rsidRPr="00FF2368">
        <w:rPr>
          <w:sz w:val="28"/>
          <w:lang w:val="ru-RU"/>
        </w:rPr>
        <w:t>4</w:t>
      </w:r>
      <w:r w:rsidR="00C179A9" w:rsidRPr="00FF2368">
        <w:rPr>
          <w:sz w:val="28"/>
          <w:lang w:val="ru-RU"/>
        </w:rPr>
        <w:t>.</w:t>
      </w:r>
      <w:r w:rsidR="0066218F" w:rsidRPr="00FF2368">
        <w:rPr>
          <w:sz w:val="28"/>
          <w:lang w:val="ru-RU"/>
        </w:rPr>
        <w:t>7</w:t>
      </w:r>
      <w:r w:rsidR="00C179A9" w:rsidRPr="00FF2368">
        <w:rPr>
          <w:sz w:val="28"/>
          <w:lang w:val="ru-RU"/>
        </w:rPr>
        <w:t>. Анализ состава укрупненных мероприятий</w:t>
      </w:r>
      <w:r w:rsidR="008F37FD" w:rsidRPr="00FF2368">
        <w:rPr>
          <w:sz w:val="28"/>
          <w:lang w:val="ru-RU"/>
        </w:rPr>
        <w:t xml:space="preserve"> состоит</w:t>
      </w:r>
      <w:r w:rsidR="008F37FD" w:rsidRPr="00C62EAA">
        <w:rPr>
          <w:sz w:val="28"/>
          <w:lang w:val="ru-RU"/>
        </w:rPr>
        <w:t xml:space="preserve"> в</w:t>
      </w:r>
      <w:r w:rsidR="0058265F">
        <w:rPr>
          <w:sz w:val="28"/>
        </w:rPr>
        <w:t> </w:t>
      </w:r>
      <w:r w:rsidR="008F37FD" w:rsidRPr="00C62EAA">
        <w:rPr>
          <w:sz w:val="28"/>
          <w:lang w:val="ru-RU"/>
        </w:rPr>
        <w:t>обоснованности определения запланированных объемов финансового обеспечения и</w:t>
      </w:r>
      <w:r w:rsidR="00C179A9" w:rsidRPr="00C62EAA">
        <w:rPr>
          <w:sz w:val="28"/>
          <w:lang w:val="ru-RU"/>
        </w:rPr>
        <w:t xml:space="preserve"> </w:t>
      </w:r>
      <w:r w:rsidR="001C77DE" w:rsidRPr="00C62EAA">
        <w:rPr>
          <w:sz w:val="28"/>
          <w:lang w:val="ru-RU"/>
        </w:rPr>
        <w:t>проводится, как правило, в отношении строк АИП, по которым распределение до объектов не производилось более одного года</w:t>
      </w:r>
      <w:r w:rsidR="00A72AF6" w:rsidRPr="00C62EAA">
        <w:rPr>
          <w:rStyle w:val="ac"/>
          <w:sz w:val="28"/>
          <w:lang w:val="ru-RU"/>
        </w:rPr>
        <w:footnoteReference w:id="22"/>
      </w:r>
      <w:r w:rsidR="001C77DE" w:rsidRPr="00C62EAA">
        <w:rPr>
          <w:sz w:val="28"/>
          <w:lang w:val="ru-RU"/>
        </w:rPr>
        <w:t>.</w:t>
      </w:r>
      <w:r w:rsidR="008F37FD" w:rsidRPr="00C62EAA">
        <w:rPr>
          <w:sz w:val="28"/>
          <w:lang w:val="ru-RU"/>
        </w:rPr>
        <w:t xml:space="preserve"> </w:t>
      </w:r>
    </w:p>
    <w:bookmarkEnd w:id="12"/>
    <w:p w14:paraId="6B9FA3EB" w14:textId="481D163B" w:rsidR="008F37FD" w:rsidRPr="00C62EAA" w:rsidRDefault="00A476AC" w:rsidP="00836E2E">
      <w:pPr>
        <w:widowControl w:val="0"/>
        <w:ind w:firstLine="709"/>
        <w:jc w:val="both"/>
        <w:rPr>
          <w:sz w:val="28"/>
          <w:lang w:val="ru-RU"/>
        </w:rPr>
      </w:pPr>
      <w:r w:rsidRPr="00C62EAA">
        <w:rPr>
          <w:sz w:val="28"/>
          <w:lang w:val="ru-RU"/>
        </w:rPr>
        <w:t xml:space="preserve">По результатам анализа </w:t>
      </w:r>
      <w:r w:rsidR="00321474">
        <w:rPr>
          <w:sz w:val="28"/>
          <w:lang w:val="ru-RU"/>
        </w:rPr>
        <w:t>могут быть сформированы</w:t>
      </w:r>
      <w:r w:rsidRPr="00C62EAA">
        <w:rPr>
          <w:sz w:val="28"/>
          <w:lang w:val="ru-RU"/>
        </w:rPr>
        <w:t xml:space="preserve"> предложения по</w:t>
      </w:r>
      <w:r w:rsidR="00321474">
        <w:rPr>
          <w:sz w:val="28"/>
          <w:lang w:val="ru-RU"/>
        </w:rPr>
        <w:t> </w:t>
      </w:r>
      <w:r w:rsidRPr="00C62EAA">
        <w:rPr>
          <w:sz w:val="28"/>
          <w:lang w:val="ru-RU"/>
        </w:rPr>
        <w:t>разукрупнению</w:t>
      </w:r>
      <w:r w:rsidR="00321474">
        <w:rPr>
          <w:sz w:val="28"/>
          <w:lang w:val="ru-RU"/>
        </w:rPr>
        <w:t xml:space="preserve"> или </w:t>
      </w:r>
      <w:r w:rsidRPr="00C62EAA">
        <w:rPr>
          <w:sz w:val="28"/>
          <w:lang w:val="ru-RU"/>
        </w:rPr>
        <w:t xml:space="preserve">исключению соответствующих строк из АИП. </w:t>
      </w:r>
      <w:r w:rsidR="008F37FD" w:rsidRPr="00C62EAA">
        <w:rPr>
          <w:sz w:val="28"/>
          <w:lang w:val="ru-RU"/>
        </w:rPr>
        <w:t>Наличие в АИП укрупненных мероприятий может рассматриваться как резерв средств для оптимизации бюджетных расходов в рамках исполнения бюджета</w:t>
      </w:r>
      <w:r w:rsidR="00A01850">
        <w:rPr>
          <w:sz w:val="28"/>
          <w:lang w:val="ru-RU"/>
        </w:rPr>
        <w:t xml:space="preserve"> города</w:t>
      </w:r>
      <w:r w:rsidR="00321474">
        <w:rPr>
          <w:sz w:val="28"/>
          <w:lang w:val="ru-RU"/>
        </w:rPr>
        <w:t> </w:t>
      </w:r>
      <w:r w:rsidR="00A01850">
        <w:rPr>
          <w:sz w:val="28"/>
          <w:lang w:val="ru-RU"/>
        </w:rPr>
        <w:t>Москвы</w:t>
      </w:r>
      <w:r w:rsidR="008F37FD" w:rsidRPr="00C62EAA">
        <w:rPr>
          <w:sz w:val="28"/>
          <w:lang w:val="ru-RU"/>
        </w:rPr>
        <w:t xml:space="preserve">. </w:t>
      </w:r>
    </w:p>
    <w:sectPr w:rsidR="008F37FD" w:rsidRPr="00C62EAA" w:rsidSect="00190E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6BA2" w14:textId="77777777" w:rsidR="0023656A" w:rsidRDefault="0023656A" w:rsidP="001D79FC">
      <w:r>
        <w:separator/>
      </w:r>
    </w:p>
  </w:endnote>
  <w:endnote w:type="continuationSeparator" w:id="0">
    <w:p w14:paraId="2466BCAC" w14:textId="77777777" w:rsidR="0023656A" w:rsidRDefault="0023656A" w:rsidP="001D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58DB5" w14:textId="77777777" w:rsidR="0023656A" w:rsidRDefault="0023656A" w:rsidP="001D79FC">
      <w:r>
        <w:separator/>
      </w:r>
    </w:p>
  </w:footnote>
  <w:footnote w:type="continuationSeparator" w:id="0">
    <w:p w14:paraId="4DE1F6BC" w14:textId="77777777" w:rsidR="0023656A" w:rsidRDefault="0023656A" w:rsidP="001D79FC">
      <w:r>
        <w:continuationSeparator/>
      </w:r>
    </w:p>
  </w:footnote>
  <w:footnote w:id="1">
    <w:p w14:paraId="1504CAFD" w14:textId="0675E31D" w:rsidR="001D79FC" w:rsidRPr="00F45673" w:rsidRDefault="001D79FC" w:rsidP="001D79FC">
      <w:pPr>
        <w:pStyle w:val="aa"/>
        <w:jc w:val="both"/>
        <w:rPr>
          <w:lang w:val="ru-RU"/>
        </w:rPr>
      </w:pPr>
      <w:r w:rsidRPr="00F45673">
        <w:rPr>
          <w:rStyle w:val="ac"/>
        </w:rPr>
        <w:footnoteRef/>
      </w:r>
      <w:r w:rsidRPr="00F45673">
        <w:rPr>
          <w:lang w:val="ru-RU"/>
        </w:rPr>
        <w:t xml:space="preserve"> Далее </w:t>
      </w:r>
      <w:r w:rsidR="00D00014" w:rsidRPr="00F45673">
        <w:rPr>
          <w:lang w:val="ru-RU"/>
        </w:rPr>
        <w:t xml:space="preserve">– </w:t>
      </w:r>
      <w:r w:rsidRPr="00F45673">
        <w:rPr>
          <w:lang w:val="ru-RU"/>
        </w:rPr>
        <w:t>Методические рекомендации</w:t>
      </w:r>
      <w:r w:rsidR="00361FC2" w:rsidRPr="00F45673">
        <w:rPr>
          <w:lang w:val="ru-RU"/>
        </w:rPr>
        <w:t>.</w:t>
      </w:r>
    </w:p>
  </w:footnote>
  <w:footnote w:id="2">
    <w:p w14:paraId="3402340E" w14:textId="41FD7955" w:rsidR="00BD4BBA" w:rsidRPr="00F45673" w:rsidRDefault="00BD4BBA" w:rsidP="00BD4BBA">
      <w:pPr>
        <w:pStyle w:val="aa"/>
        <w:jc w:val="both"/>
        <w:rPr>
          <w:lang w:val="ru-RU"/>
        </w:rPr>
      </w:pPr>
      <w:r w:rsidRPr="00F45673">
        <w:rPr>
          <w:rStyle w:val="ac"/>
        </w:rPr>
        <w:footnoteRef/>
      </w:r>
      <w:r w:rsidRPr="00F45673">
        <w:rPr>
          <w:lang w:val="ru-RU"/>
        </w:rPr>
        <w:t> АИС «Мосгорзаказ» (финансирование АИП); Анализ исполнения АИП по ф.</w:t>
      </w:r>
      <w:r w:rsidR="0043711F" w:rsidRPr="00F45673">
        <w:rPr>
          <w:lang w:val="ru-RU"/>
        </w:rPr>
        <w:t>0503</w:t>
      </w:r>
      <w:r w:rsidRPr="00F45673">
        <w:rPr>
          <w:lang w:val="ru-RU"/>
        </w:rPr>
        <w:t xml:space="preserve">117; ЕАИСТ2-контракты-АИП; МКР-Сведения об объектах АИП и Реновации – детализация; Мониторинг исполнения бюджета (АИП); Сведения об объектах АИП и реновации. </w:t>
      </w:r>
    </w:p>
  </w:footnote>
  <w:footnote w:id="3">
    <w:p w14:paraId="5CE55A99" w14:textId="77AC8075" w:rsidR="001E51D5" w:rsidRPr="00F45673" w:rsidRDefault="001E51D5" w:rsidP="001E51D5">
      <w:pPr>
        <w:pStyle w:val="aa"/>
        <w:jc w:val="both"/>
        <w:rPr>
          <w:lang w:val="ru-RU"/>
        </w:rPr>
      </w:pPr>
      <w:r w:rsidRPr="00F45673">
        <w:rPr>
          <w:rStyle w:val="ac"/>
        </w:rPr>
        <w:footnoteRef/>
      </w:r>
      <w:r w:rsidRPr="00F45673">
        <w:rPr>
          <w:lang w:val="ru-RU"/>
        </w:rPr>
        <w:t> Утверждено постановлением Правительства Москвы от 30.12.2011 № 671-ПП</w:t>
      </w:r>
      <w:r w:rsidR="00990D7D" w:rsidRPr="00F45673">
        <w:rPr>
          <w:lang w:val="ru-RU"/>
        </w:rPr>
        <w:t xml:space="preserve"> (д</w:t>
      </w:r>
      <w:r w:rsidRPr="00F45673">
        <w:rPr>
          <w:lang w:val="ru-RU"/>
        </w:rPr>
        <w:t>алее – Положение</w:t>
      </w:r>
      <w:r w:rsidR="00990D7D" w:rsidRPr="00F45673">
        <w:rPr>
          <w:lang w:val="ru-RU"/>
        </w:rPr>
        <w:t>)</w:t>
      </w:r>
      <w:r w:rsidRPr="00F45673">
        <w:rPr>
          <w:lang w:val="ru-RU"/>
        </w:rPr>
        <w:t xml:space="preserve">. </w:t>
      </w:r>
    </w:p>
  </w:footnote>
  <w:footnote w:id="4">
    <w:p w14:paraId="06D49B9E" w14:textId="0DD3CCBB" w:rsidR="00AD3D5F" w:rsidRPr="00AD3D5F" w:rsidRDefault="00AD3D5F" w:rsidP="00AD3D5F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> </w:t>
      </w:r>
      <w:r w:rsidRPr="00AD3D5F">
        <w:rPr>
          <w:lang w:val="ru-RU"/>
        </w:rPr>
        <w:t>Например, постоянное уменьшение значений показателей ввода (под фактический ввод) может свидетельствовать о нереалистичности установленных значений ввода в текущем году и следующие периоды, и, как минимум, требует дополнительного обоснования, в том числе при определении объемов бюджетного финансирования по отдельным объектам</w:t>
      </w:r>
      <w:r w:rsidR="00B34685">
        <w:rPr>
          <w:lang w:val="ru-RU"/>
        </w:rPr>
        <w:t>.</w:t>
      </w:r>
    </w:p>
  </w:footnote>
  <w:footnote w:id="5">
    <w:p w14:paraId="50808780" w14:textId="54F4F850" w:rsidR="00AD3D5F" w:rsidRDefault="00AD3D5F" w:rsidP="00AD3D5F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</w:t>
      </w:r>
      <w:r w:rsidRPr="00AD3D5F">
        <w:rPr>
          <w:lang w:val="ru-RU"/>
        </w:rPr>
        <w:t>Следует учитывать «первичность» показателей госпрограмм</w:t>
      </w:r>
      <w:r>
        <w:rPr>
          <w:lang w:val="ru-RU"/>
        </w:rPr>
        <w:t xml:space="preserve"> (являющихся документами стратегического планирования)</w:t>
      </w:r>
      <w:r w:rsidRPr="00AD3D5F">
        <w:rPr>
          <w:lang w:val="ru-RU"/>
        </w:rPr>
        <w:t xml:space="preserve"> при условии релевантности сравнения их соответствующих редакций с АИП</w:t>
      </w:r>
      <w:r>
        <w:rPr>
          <w:lang w:val="ru-RU"/>
        </w:rPr>
        <w:t>.</w:t>
      </w:r>
      <w:r w:rsidR="00D15B1F">
        <w:rPr>
          <w:lang w:val="ru-RU"/>
        </w:rPr>
        <w:t xml:space="preserve"> </w:t>
      </w:r>
    </w:p>
    <w:p w14:paraId="54E7035B" w14:textId="21E03CE3" w:rsidR="00D15B1F" w:rsidRPr="00AD3D5F" w:rsidRDefault="00D15B1F" w:rsidP="00AD3D5F">
      <w:pPr>
        <w:pStyle w:val="aa"/>
        <w:jc w:val="both"/>
        <w:rPr>
          <w:lang w:val="ru-RU"/>
        </w:rPr>
      </w:pPr>
      <w:r>
        <w:rPr>
          <w:lang w:val="ru-RU"/>
        </w:rPr>
        <w:t>Кроме того, показатели АИП и госпрограмм производны от значений, определенных Генеральным планом города Москвы (при возможности идентификации периодов анализ проводится в целях формирования прогноза относительно достижимости его показателей).</w:t>
      </w:r>
    </w:p>
  </w:footnote>
  <w:footnote w:id="6">
    <w:p w14:paraId="392C1AA5" w14:textId="2A3D0B22" w:rsidR="007F20BD" w:rsidRPr="007F20BD" w:rsidRDefault="007F20BD" w:rsidP="007F20B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Согласно данным докладов «С</w:t>
      </w:r>
      <w:r w:rsidRPr="007F20BD">
        <w:rPr>
          <w:lang w:val="ru-RU"/>
        </w:rPr>
        <w:t>оциально-экономическое положение</w:t>
      </w:r>
      <w:r>
        <w:rPr>
          <w:lang w:val="ru-RU"/>
        </w:rPr>
        <w:t xml:space="preserve"> </w:t>
      </w:r>
      <w:r w:rsidRPr="007F20BD">
        <w:rPr>
          <w:lang w:val="ru-RU"/>
        </w:rPr>
        <w:t xml:space="preserve">г. </w:t>
      </w:r>
      <w:r>
        <w:rPr>
          <w:lang w:val="ru-RU"/>
        </w:rPr>
        <w:t>М</w:t>
      </w:r>
      <w:r w:rsidRPr="007F20BD">
        <w:rPr>
          <w:lang w:val="ru-RU"/>
        </w:rPr>
        <w:t xml:space="preserve">осквы в </w:t>
      </w:r>
      <w:r>
        <w:rPr>
          <w:lang w:val="ru-RU"/>
        </w:rPr>
        <w:t>_____», информации Комитета государственного строительного надзора города Москвы, представляемой в КСП Москвы в целях информационного обеспечения (ежемесячно).</w:t>
      </w:r>
    </w:p>
  </w:footnote>
  <w:footnote w:id="7">
    <w:p w14:paraId="7892ADD1" w14:textId="22F591AA" w:rsidR="00AD3D5F" w:rsidRPr="00AD3D5F" w:rsidRDefault="00AD3D5F" w:rsidP="00AD3D5F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</w:t>
      </w:r>
      <w:r w:rsidRPr="00AD3D5F">
        <w:rPr>
          <w:lang w:val="ru-RU"/>
        </w:rPr>
        <w:t>Кроме того, расхождения могут обусловливать некорректность заполнения данных об объекте в Сведениях о вложениях в объекты недвижимого имущества, объектах незавершенного строительства (ф.0503190),</w:t>
      </w:r>
      <w:r w:rsidR="007E7338">
        <w:rPr>
          <w:lang w:val="ru-RU"/>
        </w:rPr>
        <w:t xml:space="preserve"> </w:t>
      </w:r>
      <w:r w:rsidR="007E7338" w:rsidRPr="007E7338">
        <w:rPr>
          <w:lang w:val="ru-RU"/>
        </w:rPr>
        <w:t>Сведения</w:t>
      </w:r>
      <w:r w:rsidR="007E7338">
        <w:rPr>
          <w:lang w:val="ru-RU"/>
        </w:rPr>
        <w:t>х</w:t>
      </w:r>
      <w:r w:rsidR="007E7338" w:rsidRPr="007E7338">
        <w:rPr>
          <w:lang w:val="ru-RU"/>
        </w:rPr>
        <w:t xml:space="preserve"> о вложениях в объекты недвижимого имущества, об объектах незавершенного строительства бюджетного (автономного) учреждения</w:t>
      </w:r>
      <w:r w:rsidR="007E7338">
        <w:rPr>
          <w:lang w:val="ru-RU"/>
        </w:rPr>
        <w:t xml:space="preserve"> (ф.0503790)</w:t>
      </w:r>
      <w:r w:rsidR="00995707">
        <w:rPr>
          <w:lang w:val="ru-RU"/>
        </w:rPr>
        <w:t xml:space="preserve"> (а также в таблицах ф.0503160_Анализ к ф.0503190, ф.0503790), </w:t>
      </w:r>
      <w:r w:rsidRPr="00AD3D5F">
        <w:rPr>
          <w:lang w:val="ru-RU"/>
        </w:rPr>
        <w:t>что влечет потребность в проведении соответствующего анализа в рамках, например, внешней проверки отчета об исполнении бюджета города Москвы за отчетный год</w:t>
      </w:r>
      <w:r>
        <w:rPr>
          <w:lang w:val="ru-RU"/>
        </w:rPr>
        <w:t>.</w:t>
      </w:r>
    </w:p>
  </w:footnote>
  <w:footnote w:id="8">
    <w:p w14:paraId="224ED503" w14:textId="4363A8BB" w:rsidR="001455BA" w:rsidRPr="001455BA" w:rsidRDefault="001455BA" w:rsidP="001455BA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</w:t>
      </w:r>
      <w:r w:rsidRPr="001455BA">
        <w:rPr>
          <w:lang w:val="ru-RU"/>
        </w:rPr>
        <w:t>Например, позднее заключение соглашения о предоставлении субсидии</w:t>
      </w:r>
      <w:r w:rsidR="003D44DB">
        <w:rPr>
          <w:lang w:val="ru-RU"/>
        </w:rPr>
        <w:t>, бюджетных инвестиций</w:t>
      </w:r>
      <w:r w:rsidRPr="001455BA">
        <w:rPr>
          <w:lang w:val="ru-RU"/>
        </w:rPr>
        <w:t xml:space="preserve"> влечет невозможность своевременного заключения договоров на проектно-изыскательские работы и, как следствие, перенос финансирования строительно-монтажных работ на следующие периоды</w:t>
      </w:r>
      <w:r>
        <w:rPr>
          <w:lang w:val="ru-RU"/>
        </w:rPr>
        <w:t>.</w:t>
      </w:r>
    </w:p>
  </w:footnote>
  <w:footnote w:id="9">
    <w:p w14:paraId="606A4085" w14:textId="0FB8C5DA" w:rsidR="00183AE2" w:rsidRPr="00183AE2" w:rsidRDefault="00183AE2" w:rsidP="00183AE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На основании данных ГРБС, предоставленных по запросам, а также сведений, содержащихся в </w:t>
      </w:r>
      <w:r w:rsidRPr="00183AE2">
        <w:rPr>
          <w:lang w:val="ru-RU"/>
        </w:rPr>
        <w:t>Информационно-аналитическ</w:t>
      </w:r>
      <w:r>
        <w:rPr>
          <w:lang w:val="ru-RU"/>
        </w:rPr>
        <w:t>ой</w:t>
      </w:r>
      <w:r w:rsidRPr="00183AE2">
        <w:rPr>
          <w:lang w:val="ru-RU"/>
        </w:rPr>
        <w:t xml:space="preserve"> систем</w:t>
      </w:r>
      <w:r>
        <w:rPr>
          <w:lang w:val="ru-RU"/>
        </w:rPr>
        <w:t>е</w:t>
      </w:r>
      <w:r w:rsidRPr="00183AE2">
        <w:rPr>
          <w:lang w:val="ru-RU"/>
        </w:rPr>
        <w:t xml:space="preserve"> управления градостроительной деятельностью</w:t>
      </w:r>
      <w:r>
        <w:rPr>
          <w:lang w:val="ru-RU"/>
        </w:rPr>
        <w:t>.</w:t>
      </w:r>
    </w:p>
  </w:footnote>
  <w:footnote w:id="10">
    <w:p w14:paraId="7B2F90AD" w14:textId="77777777" w:rsidR="00446646" w:rsidRPr="001C77DE" w:rsidRDefault="00446646" w:rsidP="00446646">
      <w:pPr>
        <w:pStyle w:val="aa"/>
        <w:jc w:val="both"/>
        <w:rPr>
          <w:lang w:val="ru-RU"/>
        </w:rPr>
      </w:pPr>
      <w:r w:rsidRPr="001C77DE">
        <w:rPr>
          <w:rStyle w:val="ac"/>
        </w:rPr>
        <w:footnoteRef/>
      </w:r>
      <w:r w:rsidRPr="001C77DE">
        <w:rPr>
          <w:lang w:val="ru-RU"/>
        </w:rPr>
        <w:t> </w:t>
      </w:r>
      <w:r>
        <w:rPr>
          <w:lang w:val="ru-RU"/>
        </w:rPr>
        <w:t xml:space="preserve">Здесь и далее – Классификатор нарушений, </w:t>
      </w:r>
      <w:r w:rsidRPr="00446646">
        <w:rPr>
          <w:lang w:val="ru-RU"/>
        </w:rPr>
        <w:t>выявляемых в ходе внешнего государственного аудита (контроля)</w:t>
      </w:r>
      <w:r>
        <w:rPr>
          <w:lang w:val="ru-RU"/>
        </w:rPr>
        <w:t xml:space="preserve">, утвержденный приказом </w:t>
      </w:r>
      <w:r w:rsidRPr="00446646">
        <w:rPr>
          <w:lang w:val="ru-RU"/>
        </w:rPr>
        <w:t>от 29.07.2022 № 49/01-0</w:t>
      </w:r>
      <w:r>
        <w:rPr>
          <w:lang w:val="ru-RU"/>
        </w:rPr>
        <w:t>5.</w:t>
      </w:r>
    </w:p>
  </w:footnote>
  <w:footnote w:id="11">
    <w:p w14:paraId="29C07646" w14:textId="4AD9ED08" w:rsidR="009E3859" w:rsidRPr="001C77DE" w:rsidRDefault="009E3859" w:rsidP="009B6B8B">
      <w:pPr>
        <w:pStyle w:val="aa"/>
        <w:jc w:val="both"/>
        <w:rPr>
          <w:lang w:val="ru-RU"/>
        </w:rPr>
      </w:pPr>
      <w:r w:rsidRPr="001C77DE">
        <w:rPr>
          <w:rStyle w:val="ac"/>
        </w:rPr>
        <w:footnoteRef/>
      </w:r>
      <w:r w:rsidR="00CA3E8F" w:rsidRPr="001C77DE">
        <w:t> </w:t>
      </w:r>
      <w:r w:rsidRPr="001C77DE">
        <w:rPr>
          <w:lang w:val="ru-RU"/>
        </w:rPr>
        <w:t xml:space="preserve">Например, </w:t>
      </w:r>
      <w:r w:rsidR="0004295B" w:rsidRPr="001C77DE">
        <w:rPr>
          <w:lang w:val="ru-RU"/>
        </w:rPr>
        <w:t>длительность судебных споров по вопрос</w:t>
      </w:r>
      <w:r w:rsidR="001E47C8">
        <w:rPr>
          <w:lang w:val="ru-RU"/>
        </w:rPr>
        <w:t>ам</w:t>
      </w:r>
      <w:r w:rsidR="0004295B" w:rsidRPr="001C77DE">
        <w:rPr>
          <w:lang w:val="ru-RU"/>
        </w:rPr>
        <w:t xml:space="preserve"> оформлени</w:t>
      </w:r>
      <w:r w:rsidR="001E47C8">
        <w:rPr>
          <w:lang w:val="ru-RU"/>
        </w:rPr>
        <w:t>я</w:t>
      </w:r>
      <w:r w:rsidR="0004295B" w:rsidRPr="001C77DE">
        <w:rPr>
          <w:lang w:val="ru-RU"/>
        </w:rPr>
        <w:t xml:space="preserve"> прав на земельные участки, отселени</w:t>
      </w:r>
      <w:r w:rsidR="001E47C8">
        <w:rPr>
          <w:lang w:val="ru-RU"/>
        </w:rPr>
        <w:t>я</w:t>
      </w:r>
      <w:r w:rsidR="0004295B" w:rsidRPr="001C77DE">
        <w:rPr>
          <w:lang w:val="ru-RU"/>
        </w:rPr>
        <w:t xml:space="preserve"> жителей из домов, подпадающих в зону застройки, длительные согласования с ресурсоснабжающими организациями и др</w:t>
      </w:r>
      <w:r w:rsidR="00A01850">
        <w:rPr>
          <w:lang w:val="ru-RU"/>
        </w:rPr>
        <w:t>угие.</w:t>
      </w:r>
    </w:p>
  </w:footnote>
  <w:footnote w:id="12">
    <w:p w14:paraId="44EF3F0B" w14:textId="2EF798C8" w:rsidR="005919FA" w:rsidRPr="0016153B" w:rsidRDefault="005919FA" w:rsidP="009B6B8B">
      <w:pPr>
        <w:pStyle w:val="aa"/>
        <w:jc w:val="both"/>
        <w:rPr>
          <w:lang w:val="ru-RU"/>
        </w:rPr>
      </w:pPr>
      <w:r w:rsidRPr="001C77DE">
        <w:rPr>
          <w:rStyle w:val="ac"/>
        </w:rPr>
        <w:footnoteRef/>
      </w:r>
      <w:r w:rsidRPr="001C77DE">
        <w:rPr>
          <w:lang w:val="ru-RU"/>
        </w:rPr>
        <w:t xml:space="preserve"> При условии их списания в порядке, установленном </w:t>
      </w:r>
      <w:bookmarkStart w:id="9" w:name="_Hlk129700186"/>
      <w:r w:rsidRPr="001C77DE">
        <w:rPr>
          <w:lang w:val="ru-RU"/>
        </w:rPr>
        <w:t>Положением о межведомственной комиссии по списанию капитальных вложений в объекты нефинансовых активов, финансирование которых осуществлялось за счет средств бюджета города Москвы, в комплексе городского управления, утвержденным постановлением Правительства Москвы от 27.01.2015 № 31-ПП</w:t>
      </w:r>
      <w:bookmarkEnd w:id="9"/>
      <w:r w:rsidR="008F4A50">
        <w:rPr>
          <w:lang w:val="ru-RU"/>
        </w:rPr>
        <w:t xml:space="preserve"> (в том числе с учетом принятия решения о списании Комиссией, созданной в ГРБС). </w:t>
      </w:r>
    </w:p>
  </w:footnote>
  <w:footnote w:id="13">
    <w:p w14:paraId="020955C1" w14:textId="535C0056" w:rsidR="005919FA" w:rsidRPr="005919FA" w:rsidRDefault="005919FA" w:rsidP="009B6B8B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Расходование бюджетных средств без получения результата.</w:t>
      </w:r>
    </w:p>
  </w:footnote>
  <w:footnote w:id="14">
    <w:p w14:paraId="7A5B5AB5" w14:textId="3E9DBDB9" w:rsidR="005919FA" w:rsidRPr="005919FA" w:rsidRDefault="005919FA" w:rsidP="009B6B8B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З</w:t>
      </w:r>
      <w:r w:rsidRPr="005919FA">
        <w:rPr>
          <w:lang w:val="ru-RU"/>
        </w:rPr>
        <w:t>десь и далее – Методические рекомендации по оценке недостатков в деятельности проверяемых органов и организаций, утвержденные приказом от 29.07.2022 № 48/01-05.</w:t>
      </w:r>
    </w:p>
  </w:footnote>
  <w:footnote w:id="15">
    <w:p w14:paraId="0D43A9B3" w14:textId="4745DD50" w:rsidR="00A01850" w:rsidRPr="005919FA" w:rsidRDefault="00A01850" w:rsidP="00A01850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Несвоевременность завершения строительства или реконструкции объектов.</w:t>
      </w:r>
    </w:p>
  </w:footnote>
  <w:footnote w:id="16">
    <w:p w14:paraId="23A92256" w14:textId="74D4D6F3" w:rsidR="0004295B" w:rsidRPr="0004295B" w:rsidRDefault="0004295B" w:rsidP="009B6B8B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 Например, если в АИП новые сроки проектирования – 2024-2025 годы (старые – 2022-2023 годы), то планируемые бюджетные ассигнования по объекту должны быть обоснованно распределены на соответствующие периоды (вместо финансирования 2022-2023 годов – финансирование 2024-2025 годов (с учетом возможности оплаты выполненных работ за пределами периода проектирования)). </w:t>
      </w:r>
    </w:p>
  </w:footnote>
  <w:footnote w:id="17">
    <w:p w14:paraId="6ADD663E" w14:textId="20644A5D" w:rsidR="0066218F" w:rsidRPr="0066218F" w:rsidRDefault="0066218F" w:rsidP="002501D5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="001A2119">
        <w:rPr>
          <w:lang w:val="ru-RU"/>
        </w:rPr>
        <w:t> </w:t>
      </w:r>
      <w:r>
        <w:rPr>
          <w:lang w:val="ru-RU"/>
        </w:rPr>
        <w:t>Например, в АИП предусмотрен к реализации объект с общими сроками – 2023-2026 годы, в том числе сроки проектно-изыскательских работ – 2023-2024 годы, строительно-монтажных работ – 2026 год.</w:t>
      </w:r>
    </w:p>
  </w:footnote>
  <w:footnote w:id="18">
    <w:p w14:paraId="353E86CE" w14:textId="2E62A069" w:rsidR="00716D55" w:rsidRPr="00716D55" w:rsidRDefault="00716D55" w:rsidP="003A594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="003A5944">
        <w:rPr>
          <w:lang w:val="ru-RU"/>
        </w:rPr>
        <w:t> </w:t>
      </w:r>
      <w:r w:rsidR="00FB68CC">
        <w:rPr>
          <w:lang w:val="ru-RU"/>
        </w:rPr>
        <w:t>Например, срок действия геоподосновы</w:t>
      </w:r>
      <w:r w:rsidR="003D44DB">
        <w:rPr>
          <w:lang w:val="ru-RU"/>
        </w:rPr>
        <w:t xml:space="preserve"> </w:t>
      </w:r>
      <w:r w:rsidR="00FB68CC">
        <w:rPr>
          <w:lang w:val="ru-RU"/>
        </w:rPr>
        <w:t>в</w:t>
      </w:r>
      <w:r w:rsidR="003D44DB">
        <w:rPr>
          <w:lang w:val="ru-RU"/>
        </w:rPr>
        <w:t xml:space="preserve"> </w:t>
      </w:r>
      <w:r w:rsidR="00FB68CC">
        <w:rPr>
          <w:lang w:val="ru-RU"/>
        </w:rPr>
        <w:t xml:space="preserve">составе проектной документации, как правило, составляет два года; технические </w:t>
      </w:r>
      <w:r w:rsidR="00F71482">
        <w:rPr>
          <w:lang w:val="ru-RU"/>
        </w:rPr>
        <w:t>условия,</w:t>
      </w:r>
      <w:r w:rsidR="00FB68CC">
        <w:rPr>
          <w:lang w:val="ru-RU"/>
        </w:rPr>
        <w:t xml:space="preserve"> выдаются ресурсоснабжающими организациями, как правило, на три года.</w:t>
      </w:r>
    </w:p>
  </w:footnote>
  <w:footnote w:id="19">
    <w:p w14:paraId="6E6A4C14" w14:textId="77777777" w:rsidR="00A01850" w:rsidRPr="00BF4527" w:rsidRDefault="00A01850" w:rsidP="00A01850">
      <w:pPr>
        <w:pStyle w:val="aa"/>
        <w:rPr>
          <w:lang w:val="ru-RU"/>
        </w:rPr>
      </w:pPr>
      <w:r>
        <w:rPr>
          <w:rStyle w:val="ac"/>
        </w:rPr>
        <w:footnoteRef/>
      </w:r>
      <w:r w:rsidRPr="00BF4527">
        <w:rPr>
          <w:lang w:val="ru-RU"/>
        </w:rPr>
        <w:t xml:space="preserve"> Получение результатов в сроки, когда потребность в них отсутствует (утрачена), применение невозможно</w:t>
      </w:r>
      <w:r>
        <w:rPr>
          <w:lang w:val="ru-RU"/>
        </w:rPr>
        <w:t>.</w:t>
      </w:r>
    </w:p>
  </w:footnote>
  <w:footnote w:id="20">
    <w:p w14:paraId="16160BC5" w14:textId="04E11646" w:rsidR="0097624F" w:rsidRPr="0097624F" w:rsidRDefault="0097624F" w:rsidP="009B6B8B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> </w:t>
      </w:r>
      <w:r>
        <w:rPr>
          <w:lang w:val="ru-RU"/>
        </w:rPr>
        <w:t xml:space="preserve">Определяется </w:t>
      </w:r>
      <w:r w:rsidRPr="0097624F">
        <w:rPr>
          <w:lang w:val="ru-RU"/>
        </w:rPr>
        <w:t>как сумма, отраженная в акте по форме КС-11, а при его отсутствии – сумма всех заключенных договоров (твердая договорная цена) с учетом планируемых корректировок (согласно данным, представленным городским застройщиком)</w:t>
      </w:r>
      <w:r>
        <w:rPr>
          <w:lang w:val="ru-RU"/>
        </w:rPr>
        <w:t>.</w:t>
      </w:r>
    </w:p>
  </w:footnote>
  <w:footnote w:id="21">
    <w:p w14:paraId="345B8DEF" w14:textId="6EA389C0" w:rsidR="009C7372" w:rsidRPr="006535DC" w:rsidRDefault="009C7372" w:rsidP="009B6B8B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 </w:t>
      </w:r>
      <w:r w:rsidRPr="006D54B0">
        <w:rPr>
          <w:lang w:val="ru-RU"/>
        </w:rPr>
        <w:t>Включение в государственные (муниципальные) программы, региональные проекты города Москвы или в</w:t>
      </w:r>
      <w:r>
        <w:rPr>
          <w:lang w:val="ru-RU"/>
        </w:rPr>
        <w:t> </w:t>
      </w:r>
      <w:r w:rsidRPr="006D54B0">
        <w:rPr>
          <w:lang w:val="ru-RU"/>
        </w:rPr>
        <w:t>непрограммную часть бюджета неэффективных мероприятий</w:t>
      </w:r>
      <w:r>
        <w:rPr>
          <w:lang w:val="ru-RU"/>
        </w:rPr>
        <w:t>.</w:t>
      </w:r>
    </w:p>
  </w:footnote>
  <w:footnote w:id="22">
    <w:p w14:paraId="3C7B2734" w14:textId="09EABB32" w:rsidR="00A72AF6" w:rsidRPr="00A72AF6" w:rsidRDefault="00A72AF6" w:rsidP="00A72AF6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 Соответствующие факты могут быть классифицированы по п.9.5.1 </w:t>
      </w:r>
      <w:proofErr w:type="gramStart"/>
      <w:r w:rsidR="00A01850">
        <w:rPr>
          <w:lang w:val="ru-RU"/>
        </w:rPr>
        <w:t>Методических рекомендаций</w:t>
      </w:r>
      <w:proofErr w:type="gramEnd"/>
      <w:r w:rsidR="00A01850">
        <w:rPr>
          <w:lang w:val="ru-RU"/>
        </w:rPr>
        <w:t xml:space="preserve"> по оценке</w:t>
      </w:r>
      <w:r>
        <w:rPr>
          <w:lang w:val="ru-RU"/>
        </w:rPr>
        <w:t xml:space="preserve"> недостатков.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722601"/>
      <w:docPartObj>
        <w:docPartGallery w:val="Page Numbers (Top of Page)"/>
        <w:docPartUnique/>
      </w:docPartObj>
    </w:sdtPr>
    <w:sdtEndPr/>
    <w:sdtContent>
      <w:p w14:paraId="32FDD390" w14:textId="292481FC" w:rsidR="00190E47" w:rsidRDefault="00190E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59" w:rsidRPr="005E0C59">
          <w:rPr>
            <w:noProof/>
            <w:lang w:val="ru-RU"/>
          </w:rPr>
          <w:t>4</w:t>
        </w:r>
        <w:r>
          <w:fldChar w:fldCharType="end"/>
        </w:r>
      </w:p>
    </w:sdtContent>
  </w:sdt>
  <w:p w14:paraId="2569996D" w14:textId="77777777" w:rsidR="001D79FC" w:rsidRPr="001D79FC" w:rsidRDefault="001D79FC" w:rsidP="001D79FC">
    <w:pPr>
      <w:pStyle w:val="a3"/>
      <w:jc w:val="right"/>
      <w:rPr>
        <w:b/>
        <w:sz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E"/>
    <w:rsid w:val="00005479"/>
    <w:rsid w:val="000060A1"/>
    <w:rsid w:val="000103BA"/>
    <w:rsid w:val="0002305D"/>
    <w:rsid w:val="00036605"/>
    <w:rsid w:val="0004295B"/>
    <w:rsid w:val="00064924"/>
    <w:rsid w:val="00066373"/>
    <w:rsid w:val="00072251"/>
    <w:rsid w:val="00075DE4"/>
    <w:rsid w:val="0008401F"/>
    <w:rsid w:val="00084B57"/>
    <w:rsid w:val="00086586"/>
    <w:rsid w:val="00090B92"/>
    <w:rsid w:val="00094D6E"/>
    <w:rsid w:val="000A33A4"/>
    <w:rsid w:val="000A53E5"/>
    <w:rsid w:val="000A703C"/>
    <w:rsid w:val="000C0548"/>
    <w:rsid w:val="0010503D"/>
    <w:rsid w:val="0011102B"/>
    <w:rsid w:val="00137A9E"/>
    <w:rsid w:val="001455BA"/>
    <w:rsid w:val="00146611"/>
    <w:rsid w:val="0016153B"/>
    <w:rsid w:val="00161711"/>
    <w:rsid w:val="001719F5"/>
    <w:rsid w:val="00183AE2"/>
    <w:rsid w:val="00190E47"/>
    <w:rsid w:val="0019323D"/>
    <w:rsid w:val="00193955"/>
    <w:rsid w:val="001A2119"/>
    <w:rsid w:val="001C251D"/>
    <w:rsid w:val="001C77DE"/>
    <w:rsid w:val="001D79FC"/>
    <w:rsid w:val="001E47C8"/>
    <w:rsid w:val="001E51D5"/>
    <w:rsid w:val="002307E2"/>
    <w:rsid w:val="002313B0"/>
    <w:rsid w:val="0023656A"/>
    <w:rsid w:val="00244165"/>
    <w:rsid w:val="002501D5"/>
    <w:rsid w:val="002510FE"/>
    <w:rsid w:val="0026537A"/>
    <w:rsid w:val="002658EF"/>
    <w:rsid w:val="00272B86"/>
    <w:rsid w:val="002763E9"/>
    <w:rsid w:val="00286CDD"/>
    <w:rsid w:val="00292503"/>
    <w:rsid w:val="002B393C"/>
    <w:rsid w:val="002B3BC1"/>
    <w:rsid w:val="002B5384"/>
    <w:rsid w:val="002C6F1A"/>
    <w:rsid w:val="002E758D"/>
    <w:rsid w:val="002E77AA"/>
    <w:rsid w:val="002F6689"/>
    <w:rsid w:val="00312F0B"/>
    <w:rsid w:val="003205E1"/>
    <w:rsid w:val="00321474"/>
    <w:rsid w:val="0033698F"/>
    <w:rsid w:val="00340334"/>
    <w:rsid w:val="00344575"/>
    <w:rsid w:val="00361FC2"/>
    <w:rsid w:val="0036246E"/>
    <w:rsid w:val="003A5944"/>
    <w:rsid w:val="003C2281"/>
    <w:rsid w:val="003D44DB"/>
    <w:rsid w:val="003E4DA3"/>
    <w:rsid w:val="00415483"/>
    <w:rsid w:val="00423BEE"/>
    <w:rsid w:val="004275BB"/>
    <w:rsid w:val="004316A4"/>
    <w:rsid w:val="00435085"/>
    <w:rsid w:val="0043603F"/>
    <w:rsid w:val="0043711F"/>
    <w:rsid w:val="00437EAA"/>
    <w:rsid w:val="00446646"/>
    <w:rsid w:val="00480A03"/>
    <w:rsid w:val="004C0248"/>
    <w:rsid w:val="004C704A"/>
    <w:rsid w:val="004D054C"/>
    <w:rsid w:val="004D24B8"/>
    <w:rsid w:val="004D3837"/>
    <w:rsid w:val="004F5D41"/>
    <w:rsid w:val="00531106"/>
    <w:rsid w:val="00533F52"/>
    <w:rsid w:val="0054248C"/>
    <w:rsid w:val="005477BF"/>
    <w:rsid w:val="005506AF"/>
    <w:rsid w:val="00551955"/>
    <w:rsid w:val="005529AA"/>
    <w:rsid w:val="005600E4"/>
    <w:rsid w:val="0058265F"/>
    <w:rsid w:val="005919FA"/>
    <w:rsid w:val="005A1076"/>
    <w:rsid w:val="005A62BD"/>
    <w:rsid w:val="005A6D95"/>
    <w:rsid w:val="005B470F"/>
    <w:rsid w:val="005C33B1"/>
    <w:rsid w:val="005D59C8"/>
    <w:rsid w:val="005D6698"/>
    <w:rsid w:val="005E0C59"/>
    <w:rsid w:val="005F65A0"/>
    <w:rsid w:val="0063470E"/>
    <w:rsid w:val="006412BC"/>
    <w:rsid w:val="00644611"/>
    <w:rsid w:val="00652D51"/>
    <w:rsid w:val="006535DC"/>
    <w:rsid w:val="0066218F"/>
    <w:rsid w:val="00662548"/>
    <w:rsid w:val="00664FAF"/>
    <w:rsid w:val="00667F08"/>
    <w:rsid w:val="0068048B"/>
    <w:rsid w:val="0069188A"/>
    <w:rsid w:val="006D54B0"/>
    <w:rsid w:val="006F6AE7"/>
    <w:rsid w:val="00716D55"/>
    <w:rsid w:val="0071767D"/>
    <w:rsid w:val="0072543F"/>
    <w:rsid w:val="00736FD0"/>
    <w:rsid w:val="00737C71"/>
    <w:rsid w:val="00741968"/>
    <w:rsid w:val="007740F2"/>
    <w:rsid w:val="0078276E"/>
    <w:rsid w:val="00787AFE"/>
    <w:rsid w:val="00794F6F"/>
    <w:rsid w:val="007B422C"/>
    <w:rsid w:val="007E0E97"/>
    <w:rsid w:val="007E2E43"/>
    <w:rsid w:val="007E7338"/>
    <w:rsid w:val="007F20BD"/>
    <w:rsid w:val="00800792"/>
    <w:rsid w:val="00802D5D"/>
    <w:rsid w:val="00803834"/>
    <w:rsid w:val="008104EF"/>
    <w:rsid w:val="00813F46"/>
    <w:rsid w:val="0082362A"/>
    <w:rsid w:val="00824A3D"/>
    <w:rsid w:val="00833DF1"/>
    <w:rsid w:val="008362AB"/>
    <w:rsid w:val="00836E2E"/>
    <w:rsid w:val="00842078"/>
    <w:rsid w:val="00857A8C"/>
    <w:rsid w:val="00864A2B"/>
    <w:rsid w:val="00876ED0"/>
    <w:rsid w:val="008926FB"/>
    <w:rsid w:val="0089789A"/>
    <w:rsid w:val="008A04B0"/>
    <w:rsid w:val="008C1B9C"/>
    <w:rsid w:val="008D66D2"/>
    <w:rsid w:val="008D7240"/>
    <w:rsid w:val="008E2FAB"/>
    <w:rsid w:val="008E481F"/>
    <w:rsid w:val="008E6674"/>
    <w:rsid w:val="008F0C94"/>
    <w:rsid w:val="008F37FD"/>
    <w:rsid w:val="008F4A50"/>
    <w:rsid w:val="00903F3B"/>
    <w:rsid w:val="00916EE9"/>
    <w:rsid w:val="00921BF8"/>
    <w:rsid w:val="00922B16"/>
    <w:rsid w:val="009271BF"/>
    <w:rsid w:val="00931280"/>
    <w:rsid w:val="009629C6"/>
    <w:rsid w:val="009709D5"/>
    <w:rsid w:val="0097624F"/>
    <w:rsid w:val="0097685F"/>
    <w:rsid w:val="0098329E"/>
    <w:rsid w:val="00990D7D"/>
    <w:rsid w:val="00995707"/>
    <w:rsid w:val="00997CAC"/>
    <w:rsid w:val="009B0C24"/>
    <w:rsid w:val="009B6B3D"/>
    <w:rsid w:val="009B6B8B"/>
    <w:rsid w:val="009C4393"/>
    <w:rsid w:val="009C7372"/>
    <w:rsid w:val="009E0FBF"/>
    <w:rsid w:val="009E3859"/>
    <w:rsid w:val="009F7089"/>
    <w:rsid w:val="00A01850"/>
    <w:rsid w:val="00A06D8F"/>
    <w:rsid w:val="00A2411B"/>
    <w:rsid w:val="00A27938"/>
    <w:rsid w:val="00A33013"/>
    <w:rsid w:val="00A476AC"/>
    <w:rsid w:val="00A51840"/>
    <w:rsid w:val="00A55A3F"/>
    <w:rsid w:val="00A56BD5"/>
    <w:rsid w:val="00A578A5"/>
    <w:rsid w:val="00A65DA8"/>
    <w:rsid w:val="00A65FEC"/>
    <w:rsid w:val="00A6678D"/>
    <w:rsid w:val="00A72AF6"/>
    <w:rsid w:val="00A7694B"/>
    <w:rsid w:val="00A85AE7"/>
    <w:rsid w:val="00A86836"/>
    <w:rsid w:val="00A938CA"/>
    <w:rsid w:val="00A94F01"/>
    <w:rsid w:val="00AA5D58"/>
    <w:rsid w:val="00AB6256"/>
    <w:rsid w:val="00AC156F"/>
    <w:rsid w:val="00AC5678"/>
    <w:rsid w:val="00AC7C83"/>
    <w:rsid w:val="00AD2C7F"/>
    <w:rsid w:val="00AD3D5F"/>
    <w:rsid w:val="00AD62A9"/>
    <w:rsid w:val="00AE2093"/>
    <w:rsid w:val="00AE2610"/>
    <w:rsid w:val="00B02915"/>
    <w:rsid w:val="00B34685"/>
    <w:rsid w:val="00B37813"/>
    <w:rsid w:val="00B41494"/>
    <w:rsid w:val="00B55386"/>
    <w:rsid w:val="00B653D6"/>
    <w:rsid w:val="00B74294"/>
    <w:rsid w:val="00B75A10"/>
    <w:rsid w:val="00B8534A"/>
    <w:rsid w:val="00B92561"/>
    <w:rsid w:val="00BA4620"/>
    <w:rsid w:val="00BC69C5"/>
    <w:rsid w:val="00BD4BBA"/>
    <w:rsid w:val="00BE58E3"/>
    <w:rsid w:val="00BF35E5"/>
    <w:rsid w:val="00BF4527"/>
    <w:rsid w:val="00C01DF2"/>
    <w:rsid w:val="00C179A9"/>
    <w:rsid w:val="00C27F5B"/>
    <w:rsid w:val="00C317C5"/>
    <w:rsid w:val="00C31A58"/>
    <w:rsid w:val="00C35329"/>
    <w:rsid w:val="00C62EAA"/>
    <w:rsid w:val="00C63208"/>
    <w:rsid w:val="00C66251"/>
    <w:rsid w:val="00C74942"/>
    <w:rsid w:val="00C81E34"/>
    <w:rsid w:val="00C96376"/>
    <w:rsid w:val="00CA10FD"/>
    <w:rsid w:val="00CA3E8F"/>
    <w:rsid w:val="00CB13B3"/>
    <w:rsid w:val="00CF49A2"/>
    <w:rsid w:val="00D00014"/>
    <w:rsid w:val="00D040FB"/>
    <w:rsid w:val="00D14885"/>
    <w:rsid w:val="00D14B10"/>
    <w:rsid w:val="00D15B1F"/>
    <w:rsid w:val="00D30290"/>
    <w:rsid w:val="00D335D6"/>
    <w:rsid w:val="00D35297"/>
    <w:rsid w:val="00D3777F"/>
    <w:rsid w:val="00D456DF"/>
    <w:rsid w:val="00D51508"/>
    <w:rsid w:val="00D53DA4"/>
    <w:rsid w:val="00D6104D"/>
    <w:rsid w:val="00D7175E"/>
    <w:rsid w:val="00D82CF3"/>
    <w:rsid w:val="00D86997"/>
    <w:rsid w:val="00D92A4D"/>
    <w:rsid w:val="00DB1143"/>
    <w:rsid w:val="00DB1DD6"/>
    <w:rsid w:val="00DF6320"/>
    <w:rsid w:val="00E00C5E"/>
    <w:rsid w:val="00E04127"/>
    <w:rsid w:val="00E2157F"/>
    <w:rsid w:val="00E2420F"/>
    <w:rsid w:val="00E27A60"/>
    <w:rsid w:val="00E30AE6"/>
    <w:rsid w:val="00E4151C"/>
    <w:rsid w:val="00E53C59"/>
    <w:rsid w:val="00E77EC0"/>
    <w:rsid w:val="00E83B5D"/>
    <w:rsid w:val="00E9306A"/>
    <w:rsid w:val="00E956E5"/>
    <w:rsid w:val="00EA143A"/>
    <w:rsid w:val="00EB534C"/>
    <w:rsid w:val="00EC0947"/>
    <w:rsid w:val="00EC4B91"/>
    <w:rsid w:val="00ED0BE5"/>
    <w:rsid w:val="00ED0EC9"/>
    <w:rsid w:val="00F10B5B"/>
    <w:rsid w:val="00F23187"/>
    <w:rsid w:val="00F233F0"/>
    <w:rsid w:val="00F25D14"/>
    <w:rsid w:val="00F3179A"/>
    <w:rsid w:val="00F34628"/>
    <w:rsid w:val="00F45673"/>
    <w:rsid w:val="00F47385"/>
    <w:rsid w:val="00F542D2"/>
    <w:rsid w:val="00F71482"/>
    <w:rsid w:val="00F73287"/>
    <w:rsid w:val="00F760A6"/>
    <w:rsid w:val="00F81D47"/>
    <w:rsid w:val="00F875E6"/>
    <w:rsid w:val="00F87D56"/>
    <w:rsid w:val="00F93023"/>
    <w:rsid w:val="00FA2233"/>
    <w:rsid w:val="00FB68CC"/>
    <w:rsid w:val="00FE40EB"/>
    <w:rsid w:val="00FF2368"/>
    <w:rsid w:val="00FF38E6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F023CD1"/>
  <w15:chartTrackingRefBased/>
  <w15:docId w15:val="{397E18CE-F635-4D5F-9E2C-1AF995E1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1F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D7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pPr>
      <w:jc w:val="both"/>
    </w:pPr>
    <w:rPr>
      <w:rFonts w:eastAsiaTheme="minorHAnsi"/>
      <w:b/>
      <w:sz w:val="28"/>
      <w:lang w:val="ru-RU" w:bidi="ar-SA"/>
    </w:rPr>
  </w:style>
  <w:style w:type="paragraph" w:styleId="a3">
    <w:name w:val="header"/>
    <w:basedOn w:val="a"/>
    <w:link w:val="a4"/>
    <w:uiPriority w:val="99"/>
    <w:unhideWhenUsed/>
    <w:rsid w:val="001D7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9FC"/>
    <w:rPr>
      <w:rFonts w:eastAsia="SimSun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1D7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9FC"/>
    <w:rPr>
      <w:rFonts w:eastAsia="SimSun" w:cs="Times New Roman"/>
      <w:sz w:val="24"/>
      <w:szCs w:val="24"/>
      <w:lang w:val="en-US" w:bidi="en-US"/>
    </w:rPr>
  </w:style>
  <w:style w:type="character" w:styleId="a7">
    <w:name w:val="Hyperlink"/>
    <w:uiPriority w:val="99"/>
    <w:rsid w:val="001D79FC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1D79FC"/>
    <w:pPr>
      <w:tabs>
        <w:tab w:val="left" w:pos="480"/>
        <w:tab w:val="right" w:leader="dot" w:pos="9345"/>
      </w:tabs>
      <w:suppressAutoHyphens/>
      <w:jc w:val="both"/>
    </w:pPr>
    <w:rPr>
      <w:b/>
      <w:noProof/>
      <w:sz w:val="28"/>
      <w:szCs w:val="28"/>
      <w:lang w:val="ru-RU"/>
    </w:rPr>
  </w:style>
  <w:style w:type="table" w:styleId="a8">
    <w:name w:val="Table Grid"/>
    <w:basedOn w:val="a1"/>
    <w:uiPriority w:val="39"/>
    <w:rsid w:val="001D79FC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1D79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a9">
    <w:name w:val="TOC Heading"/>
    <w:basedOn w:val="1"/>
    <w:next w:val="a"/>
    <w:uiPriority w:val="39"/>
    <w:unhideWhenUsed/>
    <w:qFormat/>
    <w:rsid w:val="001D79FC"/>
    <w:pPr>
      <w:spacing w:line="259" w:lineRule="auto"/>
      <w:outlineLvl w:val="9"/>
    </w:pPr>
    <w:rPr>
      <w:lang w:val="ru-RU" w:eastAsia="ru-RU" w:bidi="ar-SA"/>
    </w:rPr>
  </w:style>
  <w:style w:type="paragraph" w:styleId="aa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b"/>
    <w:uiPriority w:val="99"/>
    <w:unhideWhenUsed/>
    <w:qFormat/>
    <w:rsid w:val="001D79FC"/>
    <w:rPr>
      <w:sz w:val="20"/>
      <w:szCs w:val="20"/>
    </w:rPr>
  </w:style>
  <w:style w:type="character" w:customStyle="1" w:styleId="ab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a"/>
    <w:uiPriority w:val="99"/>
    <w:rsid w:val="001D79FC"/>
    <w:rPr>
      <w:rFonts w:eastAsia="SimSun" w:cs="Times New Roman"/>
      <w:sz w:val="20"/>
      <w:lang w:val="en-US" w:bidi="en-US"/>
    </w:rPr>
  </w:style>
  <w:style w:type="character" w:styleId="ac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1D79FC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A5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97624F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4207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2078"/>
    <w:rPr>
      <w:rFonts w:ascii="Segoe UI" w:eastAsia="SimSun" w:hAnsi="Segoe UI" w:cs="Segoe UI"/>
      <w:sz w:val="18"/>
      <w:szCs w:val="18"/>
      <w:lang w:val="en-US" w:bidi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175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86C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86CD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86CDD"/>
    <w:rPr>
      <w:rFonts w:eastAsia="SimSun" w:cs="Times New Roman"/>
      <w:sz w:val="20"/>
      <w:lang w:val="en-US" w:bidi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6CD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86CDD"/>
    <w:rPr>
      <w:rFonts w:eastAsia="SimSun" w:cs="Times New Roman"/>
      <w:b/>
      <w:bCs/>
      <w:sz w:val="20"/>
      <w:lang w:val="en-US" w:bidi="en-US"/>
    </w:rPr>
  </w:style>
  <w:style w:type="paragraph" w:customStyle="1" w:styleId="richfactdown-paragraph">
    <w:name w:val="richfactdown-paragraph"/>
    <w:basedOn w:val="a"/>
    <w:rsid w:val="00286CDD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character" w:styleId="af4">
    <w:name w:val="Strong"/>
    <w:basedOn w:val="a0"/>
    <w:uiPriority w:val="22"/>
    <w:qFormat/>
    <w:rsid w:val="00286CDD"/>
    <w:rPr>
      <w:b/>
      <w:bCs/>
    </w:rPr>
  </w:style>
  <w:style w:type="paragraph" w:styleId="af5">
    <w:name w:val="Revision"/>
    <w:hidden/>
    <w:uiPriority w:val="99"/>
    <w:semiHidden/>
    <w:rsid w:val="00F71482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8791-91F5-45A8-900E-2285DDA1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Гурская Анастасия Игоревна</cp:lastModifiedBy>
  <cp:revision>12</cp:revision>
  <cp:lastPrinted>2023-09-26T09:42:00Z</cp:lastPrinted>
  <dcterms:created xsi:type="dcterms:W3CDTF">2023-09-28T09:42:00Z</dcterms:created>
  <dcterms:modified xsi:type="dcterms:W3CDTF">2023-11-15T04:56:00Z</dcterms:modified>
</cp:coreProperties>
</file>