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65EE5" w14:textId="79A821A0" w:rsidR="00270EE2" w:rsidRPr="00952035" w:rsidRDefault="00270EE2" w:rsidP="00F724D1">
      <w:pPr>
        <w:pStyle w:val="af"/>
        <w:widowControl w:val="0"/>
        <w:jc w:val="right"/>
        <w:rPr>
          <w:sz w:val="28"/>
          <w:lang w:val="ru-RU"/>
        </w:rPr>
      </w:pPr>
      <w:bookmarkStart w:id="0" w:name="_Toc375220229"/>
      <w:bookmarkStart w:id="1" w:name="_Toc18659911"/>
      <w:bookmarkStart w:id="2" w:name="_Toc103939374"/>
      <w:bookmarkStart w:id="3" w:name="_GoBack"/>
      <w:r w:rsidRPr="00952035">
        <w:rPr>
          <w:sz w:val="28"/>
          <w:lang w:val="ru-RU"/>
        </w:rPr>
        <w:t xml:space="preserve">Приложение </w:t>
      </w:r>
      <w:r w:rsidR="009C7906" w:rsidRPr="00952035">
        <w:rPr>
          <w:sz w:val="28"/>
          <w:lang w:val="ru-RU"/>
        </w:rPr>
        <w:t>3</w:t>
      </w:r>
    </w:p>
    <w:p w14:paraId="275F6CD7" w14:textId="77777777" w:rsidR="00F724D1" w:rsidRDefault="00F724D1" w:rsidP="00592F4E">
      <w:pPr>
        <w:pStyle w:val="af"/>
        <w:widowControl w:val="0"/>
        <w:jc w:val="center"/>
        <w:rPr>
          <w:b/>
          <w:sz w:val="28"/>
          <w:lang w:val="ru-RU"/>
        </w:rPr>
      </w:pPr>
      <w:bookmarkStart w:id="4" w:name="_Hlk105315129"/>
      <w:bookmarkEnd w:id="0"/>
      <w:bookmarkEnd w:id="1"/>
      <w:bookmarkEnd w:id="2"/>
      <w:bookmarkEnd w:id="3"/>
    </w:p>
    <w:p w14:paraId="7EE1868B" w14:textId="581B38D0" w:rsidR="00270EE2" w:rsidRDefault="00F724D1" w:rsidP="00592F4E">
      <w:pPr>
        <w:pStyle w:val="af"/>
        <w:widowControl w:val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Примерный перечень</w:t>
      </w:r>
      <w:r w:rsidR="00F450B9">
        <w:rPr>
          <w:b/>
          <w:sz w:val="28"/>
          <w:lang w:val="ru-RU"/>
        </w:rPr>
        <w:t xml:space="preserve"> задач </w:t>
      </w:r>
      <w:r w:rsidR="0098188F">
        <w:rPr>
          <w:b/>
          <w:sz w:val="28"/>
          <w:lang w:val="ru-RU"/>
        </w:rPr>
        <w:t xml:space="preserve">Мониторинга </w:t>
      </w:r>
    </w:p>
    <w:bookmarkEnd w:id="4"/>
    <w:p w14:paraId="244454B5" w14:textId="77777777" w:rsidR="00270EE2" w:rsidRPr="00270EE2" w:rsidRDefault="00270EE2" w:rsidP="00592F4E">
      <w:pPr>
        <w:pStyle w:val="af"/>
        <w:widowControl w:val="0"/>
        <w:rPr>
          <w:b/>
          <w:szCs w:val="28"/>
          <w:lang w:val="ru-RU"/>
        </w:rPr>
      </w:pPr>
    </w:p>
    <w:p w14:paraId="563C68AC" w14:textId="27329F4A" w:rsidR="0058197E" w:rsidRPr="0058197E" w:rsidRDefault="00651FB2" w:rsidP="00592F4E">
      <w:pPr>
        <w:widowControl w:val="0"/>
        <w:ind w:firstLine="709"/>
        <w:jc w:val="both"/>
        <w:rPr>
          <w:b/>
          <w:noProof/>
          <w:sz w:val="28"/>
          <w:szCs w:val="28"/>
          <w:u w:val="single"/>
          <w:lang w:val="ru-RU"/>
        </w:rPr>
      </w:pPr>
      <w:r>
        <w:rPr>
          <w:b/>
          <w:noProof/>
          <w:sz w:val="28"/>
          <w:szCs w:val="28"/>
          <w:u w:val="single"/>
          <w:lang w:val="ru-RU"/>
        </w:rPr>
        <w:t xml:space="preserve">Группа 1. </w:t>
      </w:r>
      <w:r w:rsidR="0058197E" w:rsidRPr="0058197E">
        <w:rPr>
          <w:b/>
          <w:noProof/>
          <w:sz w:val="28"/>
          <w:szCs w:val="28"/>
          <w:u w:val="single"/>
          <w:lang w:val="ru-RU"/>
        </w:rPr>
        <w:t xml:space="preserve">Общие </w:t>
      </w:r>
      <w:r w:rsidR="00EA67A7">
        <w:rPr>
          <w:b/>
          <w:noProof/>
          <w:sz w:val="28"/>
          <w:szCs w:val="28"/>
          <w:u w:val="single"/>
          <w:lang w:val="ru-RU"/>
        </w:rPr>
        <w:t>задачи</w:t>
      </w:r>
      <w:r w:rsidR="0098188F">
        <w:rPr>
          <w:b/>
          <w:noProof/>
          <w:sz w:val="28"/>
          <w:szCs w:val="28"/>
          <w:u w:val="single"/>
          <w:lang w:val="ru-RU"/>
        </w:rPr>
        <w:t>:</w:t>
      </w:r>
    </w:p>
    <w:p w14:paraId="40226D54" w14:textId="12C99A0B" w:rsidR="0058197E" w:rsidRDefault="0058197E" w:rsidP="00592F4E">
      <w:pPr>
        <w:widowControl w:val="0"/>
        <w:ind w:firstLine="709"/>
        <w:jc w:val="both"/>
        <w:rPr>
          <w:sz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F450B9">
        <w:rPr>
          <w:noProof/>
          <w:sz w:val="28"/>
          <w:szCs w:val="28"/>
          <w:lang w:val="ru-RU"/>
        </w:rPr>
        <w:t xml:space="preserve">оценить </w:t>
      </w:r>
      <w:r w:rsidR="00492CB2">
        <w:rPr>
          <w:noProof/>
          <w:sz w:val="28"/>
          <w:szCs w:val="28"/>
          <w:lang w:val="ru-RU"/>
        </w:rPr>
        <w:t>динамик</w:t>
      </w:r>
      <w:r w:rsidR="00F450B9">
        <w:rPr>
          <w:noProof/>
          <w:sz w:val="28"/>
          <w:szCs w:val="28"/>
          <w:lang w:val="ru-RU"/>
        </w:rPr>
        <w:t>у</w:t>
      </w:r>
      <w:r>
        <w:rPr>
          <w:noProof/>
          <w:sz w:val="28"/>
          <w:szCs w:val="28"/>
          <w:lang w:val="ru-RU"/>
        </w:rPr>
        <w:t xml:space="preserve"> количества домов, включенных в Программу реновации, </w:t>
      </w:r>
      <w:r w:rsidR="00F450B9">
        <w:rPr>
          <w:noProof/>
          <w:sz w:val="28"/>
          <w:szCs w:val="28"/>
          <w:lang w:val="ru-RU"/>
        </w:rPr>
        <w:t xml:space="preserve">установив </w:t>
      </w:r>
      <w:r>
        <w:rPr>
          <w:noProof/>
          <w:sz w:val="28"/>
          <w:szCs w:val="28"/>
          <w:lang w:val="ru-RU"/>
        </w:rPr>
        <w:t>причин</w:t>
      </w:r>
      <w:r w:rsidR="00492CB2">
        <w:rPr>
          <w:noProof/>
          <w:sz w:val="28"/>
          <w:szCs w:val="28"/>
          <w:lang w:val="ru-RU"/>
        </w:rPr>
        <w:t>ы</w:t>
      </w:r>
      <w:r>
        <w:rPr>
          <w:noProof/>
          <w:sz w:val="28"/>
          <w:szCs w:val="28"/>
          <w:lang w:val="ru-RU"/>
        </w:rPr>
        <w:t xml:space="preserve"> и обстоятельств</w:t>
      </w:r>
      <w:r w:rsidR="00492CB2">
        <w:rPr>
          <w:noProof/>
          <w:sz w:val="28"/>
          <w:szCs w:val="28"/>
          <w:lang w:val="ru-RU"/>
        </w:rPr>
        <w:t>а</w:t>
      </w:r>
      <w:r w:rsidR="000A076B">
        <w:rPr>
          <w:noProof/>
          <w:sz w:val="28"/>
          <w:szCs w:val="28"/>
          <w:lang w:val="ru-RU"/>
        </w:rPr>
        <w:t>, обусловившие дополнительн</w:t>
      </w:r>
      <w:r>
        <w:rPr>
          <w:noProof/>
          <w:sz w:val="28"/>
          <w:szCs w:val="28"/>
          <w:lang w:val="ru-RU"/>
        </w:rPr>
        <w:t>ое включение домов или их исключение из Программы реновации;</w:t>
      </w:r>
    </w:p>
    <w:p w14:paraId="03C901CA" w14:textId="16CED8F5" w:rsidR="0058197E" w:rsidRDefault="0058197E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F450B9">
        <w:rPr>
          <w:noProof/>
          <w:sz w:val="28"/>
          <w:szCs w:val="28"/>
          <w:lang w:val="ru-RU"/>
        </w:rPr>
        <w:t xml:space="preserve">определить </w:t>
      </w:r>
      <w:r w:rsidR="00492CB2">
        <w:rPr>
          <w:noProof/>
          <w:sz w:val="28"/>
          <w:szCs w:val="28"/>
          <w:lang w:val="ru-RU"/>
        </w:rPr>
        <w:t>структур</w:t>
      </w:r>
      <w:r w:rsidR="00F450B9">
        <w:rPr>
          <w:noProof/>
          <w:sz w:val="28"/>
          <w:szCs w:val="28"/>
          <w:lang w:val="ru-RU"/>
        </w:rPr>
        <w:t>у</w:t>
      </w:r>
      <w:r>
        <w:rPr>
          <w:noProof/>
          <w:sz w:val="28"/>
          <w:szCs w:val="28"/>
          <w:lang w:val="ru-RU"/>
        </w:rPr>
        <w:t xml:space="preserve"> домов, включенных в Программу реновации (планируемых к сносу и подлежащих сохранению после расселения</w:t>
      </w:r>
      <w:r>
        <w:rPr>
          <w:rStyle w:val="a7"/>
          <w:noProof/>
          <w:sz w:val="28"/>
          <w:szCs w:val="28"/>
          <w:lang w:val="ru-RU"/>
        </w:rPr>
        <w:footnoteReference w:id="1"/>
      </w:r>
      <w:r>
        <w:rPr>
          <w:noProof/>
          <w:sz w:val="28"/>
          <w:szCs w:val="28"/>
          <w:lang w:val="ru-RU"/>
        </w:rPr>
        <w:t xml:space="preserve">), </w:t>
      </w:r>
      <w:r w:rsidR="00F450B9">
        <w:rPr>
          <w:noProof/>
          <w:sz w:val="28"/>
          <w:szCs w:val="28"/>
          <w:lang w:val="ru-RU"/>
        </w:rPr>
        <w:t xml:space="preserve">установив </w:t>
      </w:r>
      <w:r>
        <w:rPr>
          <w:noProof/>
          <w:sz w:val="28"/>
          <w:szCs w:val="28"/>
          <w:lang w:val="ru-RU"/>
        </w:rPr>
        <w:t>причин</w:t>
      </w:r>
      <w:r w:rsidR="00492CB2">
        <w:rPr>
          <w:noProof/>
          <w:sz w:val="28"/>
          <w:szCs w:val="28"/>
          <w:lang w:val="ru-RU"/>
        </w:rPr>
        <w:t>ы</w:t>
      </w:r>
      <w:r>
        <w:rPr>
          <w:noProof/>
          <w:sz w:val="28"/>
          <w:szCs w:val="28"/>
          <w:lang w:val="ru-RU"/>
        </w:rPr>
        <w:t xml:space="preserve"> и обстоятельств</w:t>
      </w:r>
      <w:r w:rsidR="00492CB2">
        <w:rPr>
          <w:noProof/>
          <w:sz w:val="28"/>
          <w:szCs w:val="28"/>
          <w:lang w:val="ru-RU"/>
        </w:rPr>
        <w:t>а</w:t>
      </w:r>
      <w:r>
        <w:rPr>
          <w:noProof/>
          <w:sz w:val="28"/>
          <w:szCs w:val="28"/>
          <w:lang w:val="ru-RU"/>
        </w:rPr>
        <w:t>, обусловивши</w:t>
      </w:r>
      <w:r w:rsidR="001224E4">
        <w:rPr>
          <w:noProof/>
          <w:sz w:val="28"/>
          <w:szCs w:val="28"/>
          <w:lang w:val="ru-RU"/>
        </w:rPr>
        <w:t>е</w:t>
      </w:r>
      <w:r>
        <w:rPr>
          <w:noProof/>
          <w:sz w:val="28"/>
          <w:szCs w:val="28"/>
          <w:lang w:val="ru-RU"/>
        </w:rPr>
        <w:t xml:space="preserve"> изменение данной структуры</w:t>
      </w:r>
      <w:r w:rsidR="00391FEE">
        <w:rPr>
          <w:noProof/>
          <w:sz w:val="28"/>
          <w:szCs w:val="28"/>
          <w:lang w:val="ru-RU"/>
        </w:rPr>
        <w:t>;</w:t>
      </w:r>
    </w:p>
    <w:p w14:paraId="68D0D9BF" w14:textId="37509158" w:rsidR="003927F8" w:rsidRDefault="003927F8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Pr="003927F8">
        <w:rPr>
          <w:noProof/>
          <w:sz w:val="28"/>
          <w:szCs w:val="28"/>
          <w:lang w:val="ru-RU"/>
        </w:rPr>
        <w:t xml:space="preserve">оценить динамику количества семей (человек), проживающих в домах, включенных в Программу реновации, установив причины и обстоятельства, </w:t>
      </w:r>
      <w:r w:rsidR="005E585A">
        <w:rPr>
          <w:noProof/>
          <w:sz w:val="28"/>
          <w:szCs w:val="28"/>
          <w:lang w:val="ru-RU"/>
        </w:rPr>
        <w:t>обусловившие</w:t>
      </w:r>
      <w:r>
        <w:rPr>
          <w:noProof/>
          <w:sz w:val="28"/>
          <w:szCs w:val="28"/>
          <w:lang w:val="ru-RU"/>
        </w:rPr>
        <w:t xml:space="preserve"> соответствующие изменения;</w:t>
      </w:r>
    </w:p>
    <w:p w14:paraId="19BC5335" w14:textId="77777777" w:rsidR="00391FEE" w:rsidRPr="00CD7681" w:rsidRDefault="00391FEE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sz w:val="28"/>
          <w:lang w:val="ru-RU"/>
        </w:rPr>
        <w:t>– оценить принятые в отчетном периоде нормативные правовые акты, в том числе вводящие новые, изменяющие или отменяющие действующие правила относительно реализации Программы реновации (с точки зрения обоснованности и своевременности вносимых изменений);</w:t>
      </w:r>
    </w:p>
    <w:p w14:paraId="68D0CB0E" w14:textId="24C78AF8" w:rsidR="00391FEE" w:rsidRPr="00CD7681" w:rsidRDefault="00391FEE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sz w:val="28"/>
          <w:lang w:val="ru-RU"/>
        </w:rPr>
        <w:t xml:space="preserve">– изучить опыт регулирования сопоставимых проектов </w:t>
      </w:r>
      <w:r>
        <w:rPr>
          <w:sz w:val="28"/>
          <w:lang w:val="ru-RU"/>
        </w:rPr>
        <w:t xml:space="preserve">реновации </w:t>
      </w:r>
      <w:r w:rsidRPr="00CD7681">
        <w:rPr>
          <w:sz w:val="28"/>
          <w:lang w:val="ru-RU"/>
        </w:rPr>
        <w:t>в</w:t>
      </w:r>
      <w:r>
        <w:rPr>
          <w:sz w:val="28"/>
          <w:lang w:val="ru-RU"/>
        </w:rPr>
        <w:t> </w:t>
      </w:r>
      <w:r w:rsidRPr="00CD7681">
        <w:rPr>
          <w:sz w:val="28"/>
          <w:lang w:val="ru-RU"/>
        </w:rPr>
        <w:t>других сферах</w:t>
      </w:r>
      <w:r>
        <w:rPr>
          <w:sz w:val="28"/>
          <w:lang w:val="ru-RU"/>
        </w:rPr>
        <w:t xml:space="preserve"> (например, здравоохранение или образование)</w:t>
      </w:r>
      <w:r w:rsidRPr="00CD7681">
        <w:rPr>
          <w:sz w:val="28"/>
          <w:lang w:val="ru-RU"/>
        </w:rPr>
        <w:t>, а та</w:t>
      </w:r>
      <w:r>
        <w:rPr>
          <w:sz w:val="28"/>
          <w:lang w:val="ru-RU"/>
        </w:rPr>
        <w:t>кже городах, регионах и странах.</w:t>
      </w:r>
    </w:p>
    <w:p w14:paraId="6C8BB39D" w14:textId="5E76BF0F" w:rsidR="00270EE2" w:rsidRPr="00CD7681" w:rsidRDefault="00270EE2" w:rsidP="00592F4E">
      <w:pPr>
        <w:widowControl w:val="0"/>
        <w:ind w:firstLine="709"/>
        <w:jc w:val="both"/>
        <w:rPr>
          <w:i/>
          <w:sz w:val="28"/>
          <w:lang w:val="ru-RU"/>
        </w:rPr>
      </w:pPr>
      <w:r w:rsidRPr="00CD7681">
        <w:rPr>
          <w:b/>
          <w:sz w:val="28"/>
          <w:u w:val="single"/>
          <w:lang w:val="ru-RU"/>
        </w:rPr>
        <w:t xml:space="preserve">Группа </w:t>
      </w:r>
      <w:r w:rsidR="00651FB2">
        <w:rPr>
          <w:b/>
          <w:sz w:val="28"/>
          <w:u w:val="single"/>
          <w:lang w:val="ru-RU"/>
        </w:rPr>
        <w:t>2</w:t>
      </w:r>
      <w:r w:rsidRPr="00CD7681">
        <w:rPr>
          <w:b/>
          <w:sz w:val="28"/>
          <w:u w:val="single"/>
          <w:lang w:val="ru-RU"/>
        </w:rPr>
        <w:t>.</w:t>
      </w:r>
      <w:r w:rsidRPr="00CD7681">
        <w:rPr>
          <w:sz w:val="28"/>
          <w:lang w:val="ru-RU"/>
        </w:rPr>
        <w:t xml:space="preserve"> </w:t>
      </w:r>
      <w:r w:rsidR="00651FB2">
        <w:rPr>
          <w:b/>
          <w:sz w:val="28"/>
          <w:lang w:val="ru-RU"/>
        </w:rPr>
        <w:t>З</w:t>
      </w:r>
      <w:r w:rsidR="00651FB2" w:rsidRPr="00BF33E0">
        <w:rPr>
          <w:b/>
          <w:sz w:val="28"/>
          <w:lang w:val="ru-RU"/>
        </w:rPr>
        <w:t xml:space="preserve">адачи по оценке состояния и динамики реализации мероприятий по расселению и сносу домов, включенных в Программу реновации: </w:t>
      </w:r>
    </w:p>
    <w:p w14:paraId="611101E9" w14:textId="5BF126E0" w:rsidR="00FB0AC1" w:rsidRPr="00CD7681" w:rsidRDefault="00FB0AC1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</w:t>
      </w:r>
      <w:r w:rsidRPr="00CD7681">
        <w:rPr>
          <w:noProof/>
          <w:sz w:val="28"/>
          <w:szCs w:val="28"/>
        </w:rPr>
        <w:t> </w:t>
      </w:r>
      <w:r w:rsidR="0055717C">
        <w:rPr>
          <w:noProof/>
          <w:sz w:val="28"/>
          <w:szCs w:val="28"/>
          <w:lang w:val="ru-RU"/>
        </w:rPr>
        <w:t>установить</w:t>
      </w:r>
      <w:r w:rsidR="0055717C" w:rsidRPr="00CD7681">
        <w:rPr>
          <w:noProof/>
          <w:sz w:val="28"/>
          <w:szCs w:val="28"/>
          <w:lang w:val="ru-RU"/>
        </w:rPr>
        <w:t xml:space="preserve"> </w:t>
      </w:r>
      <w:r w:rsidR="00CD7681" w:rsidRPr="00CD7681">
        <w:rPr>
          <w:noProof/>
          <w:sz w:val="28"/>
          <w:szCs w:val="28"/>
          <w:lang w:val="ru-RU"/>
        </w:rPr>
        <w:t>планируемые сроки</w:t>
      </w:r>
      <w:r w:rsidRPr="00CD7681">
        <w:rPr>
          <w:noProof/>
          <w:sz w:val="28"/>
          <w:szCs w:val="28"/>
          <w:lang w:val="ru-RU"/>
        </w:rPr>
        <w:t xml:space="preserve"> расселе</w:t>
      </w:r>
      <w:r w:rsidR="00CD7681" w:rsidRPr="00CD7681">
        <w:rPr>
          <w:noProof/>
          <w:sz w:val="28"/>
          <w:szCs w:val="28"/>
          <w:lang w:val="ru-RU"/>
        </w:rPr>
        <w:t>ния и сноса домов, включенных в</w:t>
      </w:r>
      <w:r w:rsidR="0055717C">
        <w:rPr>
          <w:noProof/>
          <w:sz w:val="28"/>
          <w:szCs w:val="28"/>
          <w:lang w:val="ru-RU"/>
        </w:rPr>
        <w:t xml:space="preserve"> </w:t>
      </w:r>
      <w:r w:rsidRPr="00CD7681">
        <w:rPr>
          <w:noProof/>
          <w:sz w:val="28"/>
          <w:szCs w:val="28"/>
          <w:lang w:val="ru-RU"/>
        </w:rPr>
        <w:t>Программу реновации</w:t>
      </w:r>
      <w:r w:rsidRPr="00CD7681">
        <w:rPr>
          <w:rStyle w:val="a7"/>
          <w:noProof/>
          <w:sz w:val="28"/>
          <w:szCs w:val="28"/>
          <w:lang w:val="ru-RU"/>
        </w:rPr>
        <w:footnoteReference w:id="2"/>
      </w:r>
      <w:r w:rsidRPr="00CD7681">
        <w:rPr>
          <w:noProof/>
          <w:sz w:val="28"/>
          <w:szCs w:val="28"/>
          <w:lang w:val="ru-RU"/>
        </w:rPr>
        <w:t>, в том числе в ближайшей перспективе (один – два года), в разбивке по административным округам и районам города</w:t>
      </w:r>
      <w:r w:rsidR="004C1391">
        <w:rPr>
          <w:noProof/>
          <w:sz w:val="28"/>
          <w:szCs w:val="28"/>
          <w:lang w:val="ru-RU"/>
        </w:rPr>
        <w:t> </w:t>
      </w:r>
      <w:r w:rsidRPr="00CD7681">
        <w:rPr>
          <w:noProof/>
          <w:sz w:val="28"/>
          <w:szCs w:val="28"/>
          <w:lang w:val="ru-RU"/>
        </w:rPr>
        <w:t>Москвы;</w:t>
      </w:r>
    </w:p>
    <w:p w14:paraId="648329A6" w14:textId="510CCA24" w:rsidR="00FB0AC1" w:rsidRPr="00CD7681" w:rsidRDefault="00FB0AC1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</w:t>
      </w:r>
      <w:r w:rsidR="00EA1197" w:rsidRPr="00CD7681">
        <w:rPr>
          <w:noProof/>
          <w:sz w:val="28"/>
          <w:szCs w:val="28"/>
          <w:lang w:val="ru-RU"/>
        </w:rPr>
        <w:t xml:space="preserve">определить </w:t>
      </w:r>
      <w:r w:rsidRPr="00CD7681">
        <w:rPr>
          <w:noProof/>
          <w:sz w:val="28"/>
          <w:szCs w:val="28"/>
          <w:lang w:val="ru-RU"/>
        </w:rPr>
        <w:t>достижени</w:t>
      </w:r>
      <w:r w:rsidR="0098188F" w:rsidRPr="00CD7681">
        <w:rPr>
          <w:noProof/>
          <w:sz w:val="28"/>
          <w:szCs w:val="28"/>
          <w:lang w:val="ru-RU"/>
        </w:rPr>
        <w:t>е</w:t>
      </w:r>
      <w:r w:rsidRPr="00CD7681">
        <w:rPr>
          <w:noProof/>
          <w:sz w:val="28"/>
          <w:szCs w:val="28"/>
          <w:lang w:val="ru-RU"/>
        </w:rPr>
        <w:t xml:space="preserve"> показателей по расселению и сносу домов, включенных в Програму реновации;</w:t>
      </w:r>
    </w:p>
    <w:p w14:paraId="16E1B5A0" w14:textId="7BD5ED63" w:rsidR="00FB0AC1" w:rsidRPr="00CD7681" w:rsidRDefault="00FB0AC1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</w:t>
      </w:r>
      <w:r w:rsidR="00EA1197" w:rsidRPr="00CD7681">
        <w:rPr>
          <w:noProof/>
          <w:sz w:val="28"/>
          <w:szCs w:val="28"/>
          <w:lang w:val="ru-RU"/>
        </w:rPr>
        <w:t xml:space="preserve">оценить </w:t>
      </w:r>
      <w:r w:rsidRPr="00CD7681">
        <w:rPr>
          <w:noProof/>
          <w:sz w:val="28"/>
          <w:szCs w:val="28"/>
          <w:lang w:val="ru-RU"/>
        </w:rPr>
        <w:t>соответстви</w:t>
      </w:r>
      <w:r w:rsidR="0098188F" w:rsidRPr="00CD7681">
        <w:rPr>
          <w:noProof/>
          <w:sz w:val="28"/>
          <w:szCs w:val="28"/>
          <w:lang w:val="ru-RU"/>
        </w:rPr>
        <w:t>е</w:t>
      </w:r>
      <w:r w:rsidRPr="00CD7681">
        <w:rPr>
          <w:noProof/>
          <w:sz w:val="28"/>
          <w:szCs w:val="28"/>
          <w:lang w:val="ru-RU"/>
        </w:rPr>
        <w:t xml:space="preserve"> фактической реализации мероприятий по</w:t>
      </w:r>
      <w:r w:rsidR="00E34564">
        <w:rPr>
          <w:noProof/>
          <w:sz w:val="28"/>
          <w:szCs w:val="28"/>
        </w:rPr>
        <w:t> </w:t>
      </w:r>
      <w:r w:rsidRPr="00CD7681">
        <w:rPr>
          <w:noProof/>
          <w:sz w:val="28"/>
          <w:szCs w:val="28"/>
          <w:lang w:val="ru-RU"/>
        </w:rPr>
        <w:t>расселению и сносу домов, включенных в</w:t>
      </w:r>
      <w:r w:rsidR="0098188F" w:rsidRPr="00CD7681">
        <w:rPr>
          <w:noProof/>
          <w:sz w:val="28"/>
          <w:szCs w:val="28"/>
          <w:lang w:val="ru-RU"/>
        </w:rPr>
        <w:t xml:space="preserve"> </w:t>
      </w:r>
      <w:r w:rsidRPr="00CD7681">
        <w:rPr>
          <w:noProof/>
          <w:sz w:val="28"/>
          <w:szCs w:val="28"/>
          <w:lang w:val="ru-RU"/>
        </w:rPr>
        <w:t>Программу реновации, плановым значениям, а также техническому состоянию расселенных и (или) снесенных домов по сравнению с домами в</w:t>
      </w:r>
      <w:r w:rsidR="0098188F" w:rsidRPr="00CD7681">
        <w:rPr>
          <w:noProof/>
          <w:sz w:val="28"/>
          <w:szCs w:val="28"/>
          <w:lang w:val="ru-RU"/>
        </w:rPr>
        <w:t xml:space="preserve"> </w:t>
      </w:r>
      <w:r w:rsidRPr="00CD7681">
        <w:rPr>
          <w:noProof/>
          <w:sz w:val="28"/>
          <w:szCs w:val="28"/>
          <w:lang w:val="ru-RU"/>
        </w:rPr>
        <w:t>границах аналогичных кварталов реновации;</w:t>
      </w:r>
    </w:p>
    <w:p w14:paraId="44A5B8B0" w14:textId="48EBD605" w:rsidR="00F724D1" w:rsidRPr="00CD7681" w:rsidRDefault="00FB0AC1" w:rsidP="00F724D1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</w:t>
      </w:r>
      <w:r w:rsidR="00EA1197" w:rsidRPr="00CD7681">
        <w:rPr>
          <w:noProof/>
          <w:sz w:val="28"/>
          <w:szCs w:val="28"/>
          <w:lang w:val="ru-RU"/>
        </w:rPr>
        <w:t xml:space="preserve">выявить </w:t>
      </w:r>
      <w:r w:rsidR="0098188F" w:rsidRPr="00CD7681">
        <w:rPr>
          <w:noProof/>
          <w:sz w:val="28"/>
          <w:szCs w:val="28"/>
          <w:lang w:val="ru-RU"/>
        </w:rPr>
        <w:t>причины,</w:t>
      </w:r>
      <w:r w:rsidRPr="00CD7681">
        <w:rPr>
          <w:noProof/>
          <w:sz w:val="28"/>
          <w:szCs w:val="28"/>
          <w:lang w:val="ru-RU"/>
        </w:rPr>
        <w:t xml:space="preserve"> препятствующи</w:t>
      </w:r>
      <w:r w:rsidR="0098188F" w:rsidRPr="00CD7681">
        <w:rPr>
          <w:noProof/>
          <w:sz w:val="28"/>
          <w:szCs w:val="28"/>
          <w:lang w:val="ru-RU"/>
        </w:rPr>
        <w:t>е</w:t>
      </w:r>
      <w:r w:rsidRPr="00CD7681">
        <w:rPr>
          <w:noProof/>
          <w:sz w:val="28"/>
          <w:szCs w:val="28"/>
          <w:lang w:val="ru-RU"/>
        </w:rPr>
        <w:t xml:space="preserve"> своевременному расселению и сносу </w:t>
      </w:r>
      <w:r w:rsidR="00EA1197" w:rsidRPr="00CD7681">
        <w:rPr>
          <w:noProof/>
          <w:sz w:val="28"/>
          <w:szCs w:val="28"/>
          <w:lang w:val="ru-RU"/>
        </w:rPr>
        <w:t>домов</w:t>
      </w:r>
      <w:r w:rsidRPr="00CD7681">
        <w:rPr>
          <w:noProof/>
          <w:sz w:val="28"/>
          <w:szCs w:val="28"/>
          <w:lang w:val="ru-RU"/>
        </w:rPr>
        <w:t>, а также мер</w:t>
      </w:r>
      <w:r w:rsidR="0098188F" w:rsidRPr="00CD7681">
        <w:rPr>
          <w:noProof/>
          <w:sz w:val="28"/>
          <w:szCs w:val="28"/>
          <w:lang w:val="ru-RU"/>
        </w:rPr>
        <w:t>ы</w:t>
      </w:r>
      <w:r w:rsidRPr="00CD7681">
        <w:rPr>
          <w:noProof/>
          <w:sz w:val="28"/>
          <w:szCs w:val="28"/>
          <w:lang w:val="ru-RU"/>
        </w:rPr>
        <w:t>, принимаемы</w:t>
      </w:r>
      <w:r w:rsidR="0098188F" w:rsidRPr="00CD7681">
        <w:rPr>
          <w:noProof/>
          <w:sz w:val="28"/>
          <w:szCs w:val="28"/>
          <w:lang w:val="ru-RU"/>
        </w:rPr>
        <w:t>е</w:t>
      </w:r>
      <w:r w:rsidRPr="00CD7681">
        <w:rPr>
          <w:noProof/>
          <w:sz w:val="28"/>
          <w:szCs w:val="28"/>
          <w:lang w:val="ru-RU"/>
        </w:rPr>
        <w:t xml:space="preserve"> участниками реализации Программы реновации</w:t>
      </w:r>
      <w:r w:rsidR="00CB0771">
        <w:rPr>
          <w:noProof/>
          <w:sz w:val="28"/>
          <w:szCs w:val="28"/>
          <w:lang w:val="ru-RU"/>
        </w:rPr>
        <w:t xml:space="preserve"> </w:t>
      </w:r>
      <w:r w:rsidRPr="00CD7681">
        <w:rPr>
          <w:noProof/>
          <w:sz w:val="28"/>
          <w:szCs w:val="28"/>
          <w:lang w:val="ru-RU"/>
        </w:rPr>
        <w:t>по их устранению.</w:t>
      </w:r>
    </w:p>
    <w:p w14:paraId="5145F523" w14:textId="242C71AA" w:rsidR="00BC2099" w:rsidRPr="00CD7681" w:rsidRDefault="00BC2099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b/>
          <w:sz w:val="28"/>
          <w:u w:val="single"/>
          <w:lang w:val="ru-RU"/>
        </w:rPr>
        <w:lastRenderedPageBreak/>
        <w:t xml:space="preserve">Группа </w:t>
      </w:r>
      <w:r w:rsidR="00651FB2">
        <w:rPr>
          <w:b/>
          <w:sz w:val="28"/>
          <w:u w:val="single"/>
          <w:lang w:val="ru-RU"/>
        </w:rPr>
        <w:t>3</w:t>
      </w:r>
      <w:r w:rsidRPr="00CD7681">
        <w:rPr>
          <w:b/>
          <w:sz w:val="28"/>
          <w:u w:val="single"/>
          <w:lang w:val="ru-RU"/>
        </w:rPr>
        <w:t>.</w:t>
      </w:r>
      <w:r w:rsidR="00CD7681" w:rsidRPr="00CD7681">
        <w:rPr>
          <w:b/>
          <w:sz w:val="28"/>
          <w:lang w:val="ru-RU"/>
        </w:rPr>
        <w:t> </w:t>
      </w:r>
      <w:r w:rsidRPr="00CD7681">
        <w:rPr>
          <w:b/>
          <w:sz w:val="28"/>
          <w:lang w:val="ru-RU"/>
        </w:rPr>
        <w:t>Задачи по оценке состояния и динамики реализации мероприятий по новому жилищному строительству</w:t>
      </w:r>
      <w:r w:rsidRPr="00CD7681">
        <w:rPr>
          <w:rStyle w:val="a7"/>
          <w:sz w:val="28"/>
          <w:lang w:val="ru-RU"/>
        </w:rPr>
        <w:footnoteReference w:id="3"/>
      </w:r>
      <w:r w:rsidRPr="00CD7681">
        <w:rPr>
          <w:b/>
          <w:sz w:val="28"/>
          <w:lang w:val="ru-RU"/>
        </w:rPr>
        <w:t>:</w:t>
      </w:r>
    </w:p>
    <w:p w14:paraId="03DA2A1E" w14:textId="792455FE" w:rsidR="00BC2099" w:rsidRPr="00CD7681" w:rsidRDefault="00BC2099" w:rsidP="00592F4E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rFonts w:eastAsia="Arial Unicode MS"/>
          <w:sz w:val="28"/>
          <w:szCs w:val="28"/>
          <w:lang w:val="ru-RU"/>
        </w:rPr>
        <w:t>– оценить ход</w:t>
      </w:r>
      <w:r w:rsidRPr="00CD7681">
        <w:rPr>
          <w:noProof/>
          <w:sz w:val="28"/>
          <w:szCs w:val="28"/>
          <w:lang w:val="ru-RU"/>
        </w:rPr>
        <w:t xml:space="preserve"> проектирования и строительства домов, в том числе в</w:t>
      </w:r>
      <w:r w:rsidR="00012221">
        <w:rPr>
          <w:noProof/>
          <w:sz w:val="28"/>
          <w:szCs w:val="28"/>
          <w:lang w:val="ru-RU"/>
        </w:rPr>
        <w:t> </w:t>
      </w:r>
      <w:r w:rsidRPr="00CD7681">
        <w:rPr>
          <w:noProof/>
          <w:sz w:val="28"/>
          <w:szCs w:val="28"/>
          <w:lang w:val="ru-RU"/>
        </w:rPr>
        <w:t>части отставания от графиков производства работ и своевременности передачи введенных объектов на баланс эксплуатирующих организаций;</w:t>
      </w:r>
    </w:p>
    <w:p w14:paraId="638E71AD" w14:textId="14ABC744" w:rsidR="00BC2099" w:rsidRDefault="00BC2099" w:rsidP="00592F4E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установить основные проблемные аспекты взаимодействия городских застройщиков с ресурсноснабжающими организациями</w:t>
      </w:r>
      <w:r w:rsidR="00313244">
        <w:rPr>
          <w:rStyle w:val="a7"/>
          <w:noProof/>
          <w:sz w:val="28"/>
          <w:szCs w:val="28"/>
          <w:lang w:val="ru-RU"/>
        </w:rPr>
        <w:footnoteReference w:id="4"/>
      </w:r>
      <w:r w:rsidR="00F43ECE">
        <w:rPr>
          <w:noProof/>
          <w:sz w:val="28"/>
          <w:szCs w:val="28"/>
          <w:lang w:val="ru-RU"/>
        </w:rPr>
        <w:t>;</w:t>
      </w:r>
    </w:p>
    <w:p w14:paraId="7B19DF8C" w14:textId="77777777" w:rsidR="00391FEE" w:rsidRDefault="00391FEE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sz w:val="28"/>
          <w:lang w:val="ru-RU"/>
        </w:rPr>
        <w:t>– определить фактическое количество разработанных и утвержденных для целей реализации Программы реновации проектов планировок территории (далее – ППТ), градостроительных планов земельных участков и иных подобных документов</w:t>
      </w:r>
      <w:r>
        <w:rPr>
          <w:sz w:val="28"/>
          <w:lang w:val="ru-RU"/>
        </w:rPr>
        <w:t>, и установить степень их достаточности для реализации Программы реновации;</w:t>
      </w:r>
    </w:p>
    <w:p w14:paraId="745EEA86" w14:textId="6DA33176" w:rsidR="00391FEE" w:rsidRDefault="00391FEE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установить риски формирования объемов и объектов незавершенного строительства (в части «долгостроев») при выявлении фактов несвоевременного ввода домов в эксплуатацию</w:t>
      </w:r>
      <w:r w:rsidR="00F43ECE">
        <w:rPr>
          <w:noProof/>
          <w:sz w:val="28"/>
          <w:szCs w:val="28"/>
          <w:lang w:val="ru-RU"/>
        </w:rPr>
        <w:t>.</w:t>
      </w:r>
    </w:p>
    <w:p w14:paraId="6AABDD33" w14:textId="72D11DCC" w:rsidR="00BC2099" w:rsidRPr="00CD7681" w:rsidRDefault="00651FB2" w:rsidP="00592F4E">
      <w:pPr>
        <w:widowControl w:val="0"/>
        <w:ind w:firstLine="709"/>
        <w:jc w:val="both"/>
        <w:rPr>
          <w:i/>
          <w:sz w:val="28"/>
          <w:u w:val="single"/>
          <w:lang w:val="ru-RU"/>
        </w:rPr>
      </w:pPr>
      <w:r w:rsidRPr="00313244">
        <w:rPr>
          <w:sz w:val="28"/>
          <w:u w:val="single"/>
          <w:lang w:val="ru-RU"/>
        </w:rPr>
        <w:t>3</w:t>
      </w:r>
      <w:r w:rsidR="00BC2099" w:rsidRPr="00313244">
        <w:rPr>
          <w:sz w:val="28"/>
          <w:u w:val="single"/>
          <w:lang w:val="ru-RU"/>
        </w:rPr>
        <w:t>.1.</w:t>
      </w:r>
      <w:r w:rsidR="004C1391">
        <w:rPr>
          <w:sz w:val="28"/>
          <w:u w:val="single"/>
          <w:lang w:val="ru-RU"/>
        </w:rPr>
        <w:t> </w:t>
      </w:r>
      <w:r w:rsidR="00BC2099" w:rsidRPr="00313244">
        <w:rPr>
          <w:sz w:val="28"/>
          <w:u w:val="single"/>
          <w:lang w:val="ru-RU"/>
        </w:rPr>
        <w:t xml:space="preserve">В части </w:t>
      </w:r>
      <w:r w:rsidR="0038373A" w:rsidRPr="00313244">
        <w:rPr>
          <w:sz w:val="28"/>
          <w:u w:val="single"/>
          <w:lang w:val="ru-RU"/>
        </w:rPr>
        <w:t xml:space="preserve">проектирования и </w:t>
      </w:r>
      <w:r w:rsidR="00BC2099" w:rsidRPr="00313244">
        <w:rPr>
          <w:sz w:val="28"/>
          <w:u w:val="single"/>
          <w:lang w:val="ru-RU"/>
        </w:rPr>
        <w:t>строительства домов на «стартовых» площадках</w:t>
      </w:r>
      <w:r w:rsidR="00BC2099" w:rsidRPr="00CD7681">
        <w:rPr>
          <w:i/>
          <w:sz w:val="28"/>
          <w:u w:val="single"/>
          <w:lang w:val="ru-RU"/>
        </w:rPr>
        <w:t>:</w:t>
      </w:r>
    </w:p>
    <w:p w14:paraId="5E51E82F" w14:textId="624EB096" w:rsidR="00BC2099" w:rsidRPr="00313244" w:rsidRDefault="00BC2099" w:rsidP="00592F4E">
      <w:pPr>
        <w:widowControl w:val="0"/>
        <w:ind w:firstLine="709"/>
        <w:jc w:val="both"/>
        <w:rPr>
          <w:i/>
          <w:noProof/>
          <w:sz w:val="28"/>
          <w:szCs w:val="28"/>
          <w:lang w:val="ru-RU"/>
        </w:rPr>
      </w:pPr>
      <w:r w:rsidRPr="00313244">
        <w:rPr>
          <w:i/>
          <w:noProof/>
          <w:sz w:val="28"/>
          <w:szCs w:val="28"/>
          <w:lang w:val="ru-RU"/>
        </w:rPr>
        <w:t>По домам, строительство которых осуществляется в рамках Адресной инвестиционной программы города Москвы</w:t>
      </w:r>
      <w:r w:rsidR="00327486" w:rsidRPr="00313244">
        <w:rPr>
          <w:i/>
          <w:noProof/>
          <w:sz w:val="28"/>
          <w:szCs w:val="28"/>
          <w:lang w:val="ru-RU"/>
        </w:rPr>
        <w:t xml:space="preserve"> (далее – АИП)</w:t>
      </w:r>
      <w:r w:rsidRPr="00313244">
        <w:rPr>
          <w:i/>
          <w:noProof/>
          <w:sz w:val="28"/>
          <w:szCs w:val="28"/>
          <w:lang w:val="ru-RU"/>
        </w:rPr>
        <w:t>:</w:t>
      </w:r>
    </w:p>
    <w:p w14:paraId="07453A2E" w14:textId="5900D9BD" w:rsidR="00BC2099" w:rsidRPr="00CD7681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определить динамику структуры жилья по направлениям дальнейшего использования квартир с определением доли квартир, направляемых на реализацию Программы реновации</w:t>
      </w:r>
      <w:r w:rsidR="00F13D23">
        <w:rPr>
          <w:noProof/>
          <w:sz w:val="28"/>
          <w:szCs w:val="28"/>
          <w:lang w:val="ru-RU"/>
        </w:rPr>
        <w:t>;</w:t>
      </w:r>
    </w:p>
    <w:p w14:paraId="05D5A7CB" w14:textId="2DFB7D9D" w:rsidR="00BC2099" w:rsidRDefault="00BC2099" w:rsidP="00592F4E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установить общую стоимость проектирования и строительства домов, включая долю затрат на выполнение работ по демонтажу старой отделки, перепроектированию и устройству новой отделки комфорт-класса (осуществленных в целях соответствия жилых помещений стандартам реновации)</w:t>
      </w:r>
      <w:r w:rsidR="00CD7681" w:rsidRPr="00CD7681">
        <w:rPr>
          <w:sz w:val="28"/>
          <w:szCs w:val="28"/>
          <w:lang w:val="ru-RU"/>
        </w:rPr>
        <w:t>, в том числе с выделением затрат текущего года</w:t>
      </w:r>
      <w:r w:rsidR="00327486">
        <w:rPr>
          <w:rStyle w:val="a7"/>
          <w:sz w:val="28"/>
          <w:szCs w:val="28"/>
          <w:lang w:val="ru-RU"/>
        </w:rPr>
        <w:footnoteReference w:id="5"/>
      </w:r>
      <w:r w:rsidR="00CD7681" w:rsidRPr="00CD7681">
        <w:rPr>
          <w:sz w:val="28"/>
          <w:szCs w:val="28"/>
          <w:lang w:val="ru-RU"/>
        </w:rPr>
        <w:t>;</w:t>
      </w:r>
    </w:p>
    <w:p w14:paraId="7092C93F" w14:textId="6D78D9E0" w:rsidR="00BC2099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</w:t>
      </w:r>
      <w:r>
        <w:rPr>
          <w:noProof/>
          <w:sz w:val="28"/>
          <w:szCs w:val="28"/>
        </w:rPr>
        <w:t> </w:t>
      </w:r>
      <w:bookmarkStart w:id="5" w:name="_Hlk92702613"/>
      <w:r>
        <w:rPr>
          <w:noProof/>
          <w:sz w:val="28"/>
          <w:szCs w:val="28"/>
          <w:lang w:val="ru-RU"/>
        </w:rPr>
        <w:t>оценить плановые и фактические показатели передачи квартир во</w:t>
      </w:r>
      <w:r w:rsidR="00012221">
        <w:rPr>
          <w:noProof/>
          <w:sz w:val="28"/>
          <w:szCs w:val="28"/>
          <w:lang w:val="ru-RU"/>
        </w:rPr>
        <w:t> </w:t>
      </w:r>
      <w:r>
        <w:rPr>
          <w:noProof/>
          <w:sz w:val="28"/>
          <w:szCs w:val="28"/>
          <w:lang w:val="ru-RU"/>
        </w:rPr>
        <w:t>введенных в эксплуатацию домах для целей реализации Программы реновации</w:t>
      </w:r>
      <w:bookmarkEnd w:id="5"/>
      <w:r w:rsidR="00CD7681">
        <w:rPr>
          <w:noProof/>
          <w:sz w:val="28"/>
          <w:szCs w:val="28"/>
          <w:lang w:val="ru-RU"/>
        </w:rPr>
        <w:t>;</w:t>
      </w:r>
    </w:p>
    <w:p w14:paraId="0347F215" w14:textId="26484095" w:rsidR="00CD7681" w:rsidRPr="00E34564" w:rsidRDefault="00327486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оц</w:t>
      </w:r>
      <w:r w:rsidR="00C34FD1">
        <w:rPr>
          <w:noProof/>
          <w:sz w:val="28"/>
          <w:szCs w:val="28"/>
          <w:lang w:val="ru-RU"/>
        </w:rPr>
        <w:t>енить целесообразность строительства домов в рамках АИП на последующих этапах реализации Программы реновации</w:t>
      </w:r>
      <w:r w:rsidR="00E34564" w:rsidRPr="00E34564">
        <w:rPr>
          <w:noProof/>
          <w:sz w:val="28"/>
          <w:szCs w:val="28"/>
          <w:lang w:val="ru-RU"/>
        </w:rPr>
        <w:t>.</w:t>
      </w:r>
    </w:p>
    <w:p w14:paraId="4A3F600F" w14:textId="77777777" w:rsidR="00BC2099" w:rsidRPr="00313244" w:rsidRDefault="00BC2099" w:rsidP="00592F4E">
      <w:pPr>
        <w:widowControl w:val="0"/>
        <w:ind w:firstLine="709"/>
        <w:jc w:val="both"/>
        <w:rPr>
          <w:i/>
          <w:noProof/>
          <w:sz w:val="28"/>
          <w:szCs w:val="28"/>
          <w:lang w:val="ru-RU"/>
        </w:rPr>
      </w:pPr>
      <w:r w:rsidRPr="00313244">
        <w:rPr>
          <w:i/>
          <w:noProof/>
          <w:sz w:val="28"/>
          <w:szCs w:val="28"/>
          <w:lang w:val="ru-RU"/>
        </w:rPr>
        <w:t>По домам, строительство которых осуществляется Фондом реновации:</w:t>
      </w:r>
    </w:p>
    <w:p w14:paraId="7C55081F" w14:textId="77777777" w:rsidR="00BC2099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– определить динамику количества и стоимости заключенных договоров на выполнение проектно-изыскательских и строительно-монтажных работ, </w:t>
      </w:r>
      <w:r>
        <w:rPr>
          <w:noProof/>
          <w:sz w:val="28"/>
          <w:szCs w:val="28"/>
          <w:lang w:val="ru-RU"/>
        </w:rPr>
        <w:lastRenderedPageBreak/>
        <w:t>а также договоров на управляющую компанию</w:t>
      </w:r>
      <w:r w:rsidRPr="00B324A2">
        <w:rPr>
          <w:rStyle w:val="a7"/>
          <w:rFonts w:eastAsia="Arial Unicode MS"/>
          <w:sz w:val="28"/>
          <w:szCs w:val="28"/>
        </w:rPr>
        <w:footnoteReference w:id="6"/>
      </w:r>
      <w:r>
        <w:rPr>
          <w:noProof/>
          <w:sz w:val="28"/>
          <w:szCs w:val="28"/>
          <w:lang w:val="ru-RU"/>
        </w:rPr>
        <w:t>;</w:t>
      </w:r>
    </w:p>
    <w:p w14:paraId="652583F2" w14:textId="5881D0FA" w:rsidR="00BC2099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78516C">
        <w:rPr>
          <w:noProof/>
          <w:sz w:val="28"/>
          <w:szCs w:val="28"/>
          <w:lang w:val="ru-RU"/>
        </w:rPr>
        <w:t>–</w:t>
      </w:r>
      <w:r>
        <w:rPr>
          <w:noProof/>
          <w:sz w:val="28"/>
          <w:szCs w:val="28"/>
        </w:rPr>
        <w:t> </w:t>
      </w:r>
      <w:r>
        <w:rPr>
          <w:noProof/>
          <w:sz w:val="28"/>
          <w:szCs w:val="28"/>
          <w:lang w:val="ru-RU"/>
        </w:rPr>
        <w:t>установить показатели ввода в эксплуатацию домов, количества квартир, нежилых помещений и машино-мест в таких домах, и оценить их на</w:t>
      </w:r>
      <w:r w:rsidR="00E34564">
        <w:rPr>
          <w:noProof/>
          <w:sz w:val="28"/>
          <w:szCs w:val="28"/>
          <w:lang w:val="ru-RU"/>
        </w:rPr>
        <w:t> </w:t>
      </w:r>
      <w:r>
        <w:rPr>
          <w:noProof/>
          <w:sz w:val="28"/>
          <w:szCs w:val="28"/>
          <w:lang w:val="ru-RU"/>
        </w:rPr>
        <w:t>соответствие установленны</w:t>
      </w:r>
      <w:r w:rsidR="00485055">
        <w:rPr>
          <w:noProof/>
          <w:sz w:val="28"/>
          <w:szCs w:val="28"/>
          <w:lang w:val="ru-RU"/>
        </w:rPr>
        <w:t>м</w:t>
      </w:r>
      <w:r>
        <w:rPr>
          <w:noProof/>
          <w:sz w:val="28"/>
          <w:szCs w:val="28"/>
          <w:lang w:val="ru-RU"/>
        </w:rPr>
        <w:t xml:space="preserve"> плановым значениям;</w:t>
      </w:r>
    </w:p>
    <w:p w14:paraId="6B43D053" w14:textId="77777777" w:rsidR="00BC2099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сопоставить плановые и фактические показатели</w:t>
      </w:r>
      <w:r w:rsidRPr="0078516C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 xml:space="preserve">ввода в эксплуатацию домов, в том числе в части соответствия планов Фонда реновации положениям </w:t>
      </w:r>
      <w:r w:rsidRPr="001A50A7">
        <w:rPr>
          <w:noProof/>
          <w:sz w:val="28"/>
          <w:szCs w:val="28"/>
          <w:lang w:val="ru-RU"/>
        </w:rPr>
        <w:t>постановлени</w:t>
      </w:r>
      <w:r>
        <w:rPr>
          <w:noProof/>
          <w:sz w:val="28"/>
          <w:szCs w:val="28"/>
          <w:lang w:val="ru-RU"/>
        </w:rPr>
        <w:t>я</w:t>
      </w:r>
      <w:r w:rsidRPr="001A50A7">
        <w:rPr>
          <w:noProof/>
          <w:sz w:val="28"/>
          <w:szCs w:val="28"/>
          <w:lang w:val="ru-RU"/>
        </w:rPr>
        <w:t xml:space="preserve"> Правительства Москвы от 26.09.2017 № 708-ПП</w:t>
      </w:r>
      <w:r>
        <w:rPr>
          <w:noProof/>
          <w:sz w:val="28"/>
          <w:szCs w:val="28"/>
          <w:lang w:val="ru-RU"/>
        </w:rPr>
        <w:t xml:space="preserve"> и графикам ввода и передачи под заселение жилых объектов, утверждаемым в Комплексе градостроительной политики и строительства города Москвы.</w:t>
      </w:r>
    </w:p>
    <w:p w14:paraId="239BF232" w14:textId="78C89475" w:rsidR="00BC2099" w:rsidRPr="00313244" w:rsidRDefault="00651FB2" w:rsidP="00592F4E">
      <w:pPr>
        <w:widowControl w:val="0"/>
        <w:ind w:firstLine="709"/>
        <w:jc w:val="both"/>
        <w:rPr>
          <w:sz w:val="28"/>
          <w:u w:val="single"/>
          <w:lang w:val="ru-RU"/>
        </w:rPr>
      </w:pPr>
      <w:r w:rsidRPr="00313244">
        <w:rPr>
          <w:sz w:val="28"/>
          <w:u w:val="single"/>
          <w:lang w:val="ru-RU"/>
        </w:rPr>
        <w:t>3</w:t>
      </w:r>
      <w:r w:rsidR="00BC2099" w:rsidRPr="00313244">
        <w:rPr>
          <w:sz w:val="28"/>
          <w:u w:val="single"/>
          <w:lang w:val="ru-RU"/>
        </w:rPr>
        <w:t xml:space="preserve">.2. В части </w:t>
      </w:r>
      <w:r w:rsidR="0038373A" w:rsidRPr="00313244">
        <w:rPr>
          <w:sz w:val="28"/>
          <w:u w:val="single"/>
          <w:lang w:val="ru-RU"/>
        </w:rPr>
        <w:t xml:space="preserve">проектирования и </w:t>
      </w:r>
      <w:r w:rsidR="00BC2099" w:rsidRPr="00313244">
        <w:rPr>
          <w:sz w:val="28"/>
          <w:u w:val="single"/>
          <w:lang w:val="ru-RU"/>
        </w:rPr>
        <w:t>строительства домов на территории кварталов реновации:</w:t>
      </w:r>
    </w:p>
    <w:p w14:paraId="7F089A1D" w14:textId="52AD7E35" w:rsidR="00391FEE" w:rsidRPr="00CD7681" w:rsidRDefault="00391FEE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sz w:val="28"/>
          <w:lang w:val="ru-RU"/>
        </w:rPr>
        <w:t>– установить степень соответствия показателей ППТ региональным нормативам градостроительного проектирования</w:t>
      </w:r>
      <w:r>
        <w:rPr>
          <w:sz w:val="28"/>
          <w:lang w:val="ru-RU"/>
        </w:rPr>
        <w:t>, иным обязательным требованиям;</w:t>
      </w:r>
    </w:p>
    <w:p w14:paraId="30A72D53" w14:textId="5E090EE2" w:rsidR="00BC2099" w:rsidRDefault="00BC2099" w:rsidP="00592F4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– определить основные показатели ППТ, характеризующи</w:t>
      </w:r>
      <w:r w:rsidR="00117391">
        <w:rPr>
          <w:rFonts w:eastAsia="Times New Roman"/>
          <w:sz w:val="28"/>
          <w:szCs w:val="28"/>
          <w:lang w:val="ru-RU" w:eastAsia="ru-RU" w:bidi="ar-SA"/>
        </w:rPr>
        <w:t>е</w:t>
      </w:r>
      <w:r>
        <w:rPr>
          <w:rFonts w:eastAsia="Times New Roman"/>
          <w:sz w:val="28"/>
          <w:szCs w:val="28"/>
          <w:lang w:val="ru-RU" w:eastAsia="ru-RU" w:bidi="ar-SA"/>
        </w:rPr>
        <w:t xml:space="preserve"> высотность планируемых к размещению домов, количество проживающих жителей до и после реновации, обеспеченность дошкольными и общеобразовательными учреждениями, объектами здравоохранения, транспортную доступность и т.п.;</w:t>
      </w:r>
    </w:p>
    <w:p w14:paraId="6097CD2E" w14:textId="77777777" w:rsidR="00391FEE" w:rsidRPr="00CD7681" w:rsidRDefault="00391FEE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sz w:val="28"/>
          <w:lang w:val="ru-RU"/>
        </w:rPr>
        <w:t xml:space="preserve">– оценить </w:t>
      </w:r>
      <w:r>
        <w:rPr>
          <w:sz w:val="28"/>
          <w:lang w:val="ru-RU"/>
        </w:rPr>
        <w:t xml:space="preserve">обоснованность </w:t>
      </w:r>
      <w:r w:rsidRPr="00CD7681">
        <w:rPr>
          <w:sz w:val="28"/>
          <w:lang w:val="ru-RU"/>
        </w:rPr>
        <w:t>факт</w:t>
      </w:r>
      <w:r>
        <w:rPr>
          <w:sz w:val="28"/>
          <w:lang w:val="ru-RU"/>
        </w:rPr>
        <w:t>ов</w:t>
      </w:r>
      <w:r w:rsidRPr="00CD7681">
        <w:rPr>
          <w:sz w:val="28"/>
          <w:lang w:val="ru-RU"/>
        </w:rPr>
        <w:t xml:space="preserve"> корректировок отдельных показателей ППТ (плотность жилой застройки, высотность, количество объектов образования и здравоохранения), осуществленных в отчетном периоде</w:t>
      </w:r>
      <w:r>
        <w:rPr>
          <w:sz w:val="28"/>
          <w:lang w:val="ru-RU"/>
        </w:rPr>
        <w:t>;</w:t>
      </w:r>
    </w:p>
    <w:p w14:paraId="188295BB" w14:textId="77777777" w:rsidR="00BC2099" w:rsidRDefault="00BC2099" w:rsidP="00592F4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– оценить условия заключенных Фондом реновации договоров на комплексную квартальную застройку</w:t>
      </w:r>
      <w:r w:rsidRPr="00D70FD5">
        <w:rPr>
          <w:rFonts w:eastAsia="Calibri"/>
          <w:sz w:val="28"/>
          <w:vertAlign w:val="superscript"/>
        </w:rPr>
        <w:footnoteReference w:id="7"/>
      </w:r>
      <w:r>
        <w:rPr>
          <w:rFonts w:eastAsia="Times New Roman"/>
          <w:sz w:val="28"/>
          <w:szCs w:val="28"/>
          <w:lang w:val="ru-RU" w:eastAsia="ru-RU" w:bidi="ar-SA"/>
        </w:rPr>
        <w:t xml:space="preserve"> в части: </w:t>
      </w:r>
    </w:p>
    <w:p w14:paraId="64B6F2D6" w14:textId="3076CB06" w:rsidR="00BC2099" w:rsidRDefault="00BC2099" w:rsidP="00592F4E">
      <w:pPr>
        <w:widowControl w:val="0"/>
        <w:autoSpaceDE w:val="0"/>
        <w:autoSpaceDN w:val="0"/>
        <w:adjustRightInd w:val="0"/>
        <w:ind w:left="708"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– соответствия условий договоров показателям ППТ;</w:t>
      </w:r>
    </w:p>
    <w:p w14:paraId="598ED5A8" w14:textId="53265159" w:rsidR="00BC2099" w:rsidRDefault="00BC2099" w:rsidP="00592F4E">
      <w:pPr>
        <w:widowControl w:val="0"/>
        <w:autoSpaceDE w:val="0"/>
        <w:autoSpaceDN w:val="0"/>
        <w:adjustRightInd w:val="0"/>
        <w:ind w:left="708"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– рисков </w:t>
      </w:r>
      <w:r w:rsidR="0055717C">
        <w:rPr>
          <w:rFonts w:eastAsia="Times New Roman"/>
          <w:sz w:val="28"/>
          <w:szCs w:val="28"/>
          <w:lang w:val="ru-RU" w:eastAsia="ru-RU" w:bidi="ar-SA"/>
        </w:rPr>
        <w:t>не</w:t>
      </w:r>
      <w:r>
        <w:rPr>
          <w:rFonts w:eastAsia="Times New Roman"/>
          <w:sz w:val="28"/>
          <w:szCs w:val="28"/>
          <w:lang w:val="ru-RU" w:eastAsia="ru-RU" w:bidi="ar-SA"/>
        </w:rPr>
        <w:t>своевременной реализации проект</w:t>
      </w:r>
      <w:r w:rsidR="004C1391">
        <w:rPr>
          <w:rFonts w:eastAsia="Times New Roman"/>
          <w:sz w:val="28"/>
          <w:szCs w:val="28"/>
          <w:lang w:val="ru-RU" w:eastAsia="ru-RU" w:bidi="ar-SA"/>
        </w:rPr>
        <w:t>ов</w:t>
      </w:r>
      <w:r>
        <w:rPr>
          <w:rFonts w:eastAsia="Times New Roman"/>
          <w:sz w:val="28"/>
          <w:szCs w:val="28"/>
          <w:lang w:val="ru-RU" w:eastAsia="ru-RU" w:bidi="ar-SA"/>
        </w:rPr>
        <w:t xml:space="preserve"> и в рамках установленного срока действия Программы реновации (2032</w:t>
      </w:r>
      <w:r w:rsidR="00E34564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sz w:val="28"/>
          <w:szCs w:val="28"/>
          <w:lang w:val="ru-RU" w:eastAsia="ru-RU" w:bidi="ar-SA"/>
        </w:rPr>
        <w:t>год);</w:t>
      </w:r>
    </w:p>
    <w:p w14:paraId="57A766AC" w14:textId="14C97E96" w:rsidR="00BC2099" w:rsidRDefault="00BC2099" w:rsidP="00592F4E">
      <w:pPr>
        <w:widowControl w:val="0"/>
        <w:autoSpaceDE w:val="0"/>
        <w:autoSpaceDN w:val="0"/>
        <w:adjustRightInd w:val="0"/>
        <w:ind w:left="708"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– производственных мощностей исполнител</w:t>
      </w:r>
      <w:r w:rsidR="004C1391">
        <w:rPr>
          <w:rFonts w:eastAsia="Times New Roman"/>
          <w:sz w:val="28"/>
          <w:szCs w:val="28"/>
          <w:lang w:val="ru-RU" w:eastAsia="ru-RU" w:bidi="ar-SA"/>
        </w:rPr>
        <w:t>ей</w:t>
      </w:r>
      <w:r>
        <w:rPr>
          <w:rFonts w:eastAsia="Times New Roman"/>
          <w:sz w:val="28"/>
          <w:szCs w:val="28"/>
          <w:lang w:val="ru-RU" w:eastAsia="ru-RU" w:bidi="ar-SA"/>
        </w:rPr>
        <w:t xml:space="preserve"> по договор</w:t>
      </w:r>
      <w:r w:rsidR="004C1391">
        <w:rPr>
          <w:rFonts w:eastAsia="Times New Roman"/>
          <w:sz w:val="28"/>
          <w:szCs w:val="28"/>
          <w:lang w:val="ru-RU" w:eastAsia="ru-RU" w:bidi="ar-SA"/>
        </w:rPr>
        <w:t>ам</w:t>
      </w:r>
      <w:r>
        <w:rPr>
          <w:rFonts w:eastAsia="Times New Roman"/>
          <w:sz w:val="28"/>
          <w:szCs w:val="28"/>
          <w:lang w:val="ru-RU" w:eastAsia="ru-RU" w:bidi="ar-SA"/>
        </w:rPr>
        <w:t>, объем</w:t>
      </w:r>
      <w:r w:rsidR="004C1391">
        <w:rPr>
          <w:rFonts w:eastAsia="Times New Roman"/>
          <w:sz w:val="28"/>
          <w:szCs w:val="28"/>
          <w:lang w:val="ru-RU" w:eastAsia="ru-RU" w:bidi="ar-SA"/>
        </w:rPr>
        <w:t>ы</w:t>
      </w:r>
      <w:r>
        <w:rPr>
          <w:rFonts w:eastAsia="Times New Roman"/>
          <w:sz w:val="28"/>
          <w:szCs w:val="28"/>
          <w:lang w:val="ru-RU" w:eastAsia="ru-RU" w:bidi="ar-SA"/>
        </w:rPr>
        <w:t xml:space="preserve"> работ (услуг), передаваемых субподрядным организациям и др.;</w:t>
      </w:r>
    </w:p>
    <w:p w14:paraId="4C1AA9C1" w14:textId="62CC014E" w:rsidR="00BC2099" w:rsidRDefault="00BC2099" w:rsidP="00592F4E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оценить степень реализации задач по формированию комфортной городской среды (</w:t>
      </w:r>
      <w:r w:rsidRPr="002056D4">
        <w:rPr>
          <w:noProof/>
          <w:sz w:val="28"/>
          <w:szCs w:val="28"/>
          <w:lang w:val="ru-RU"/>
        </w:rPr>
        <w:t>развитие природных и озелененных территорий</w:t>
      </w:r>
      <w:r>
        <w:rPr>
          <w:noProof/>
          <w:sz w:val="28"/>
          <w:szCs w:val="28"/>
          <w:lang w:val="ru-RU"/>
        </w:rPr>
        <w:t xml:space="preserve">, </w:t>
      </w:r>
      <w:r w:rsidRPr="002056D4">
        <w:rPr>
          <w:noProof/>
          <w:sz w:val="28"/>
          <w:szCs w:val="28"/>
          <w:lang w:val="ru-RU"/>
        </w:rPr>
        <w:t>благоустроенных общественных пространств</w:t>
      </w:r>
      <w:r>
        <w:rPr>
          <w:noProof/>
          <w:sz w:val="28"/>
          <w:szCs w:val="28"/>
          <w:lang w:val="ru-RU"/>
        </w:rPr>
        <w:t xml:space="preserve">, </w:t>
      </w:r>
      <w:r w:rsidRPr="002056D4">
        <w:rPr>
          <w:noProof/>
          <w:sz w:val="28"/>
          <w:szCs w:val="28"/>
          <w:lang w:val="ru-RU"/>
        </w:rPr>
        <w:t>совершенствование планировочной организации кварталов</w:t>
      </w:r>
      <w:r>
        <w:rPr>
          <w:noProof/>
          <w:sz w:val="28"/>
          <w:szCs w:val="28"/>
          <w:lang w:val="ru-RU"/>
        </w:rPr>
        <w:t>)</w:t>
      </w:r>
      <w:r w:rsidR="00012221">
        <w:rPr>
          <w:noProof/>
          <w:sz w:val="28"/>
          <w:szCs w:val="28"/>
          <w:lang w:val="ru-RU"/>
        </w:rPr>
        <w:t>;</w:t>
      </w:r>
    </w:p>
    <w:p w14:paraId="475B0140" w14:textId="000B92C3" w:rsidR="00012221" w:rsidRDefault="00012221" w:rsidP="00592F4E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– определить факторы, влияющие на значения отдельных показателей обеспеченности </w:t>
      </w:r>
      <w:r w:rsidR="00DA44B5">
        <w:rPr>
          <w:noProof/>
          <w:sz w:val="28"/>
          <w:szCs w:val="28"/>
          <w:lang w:val="ru-RU"/>
        </w:rPr>
        <w:t xml:space="preserve">(жильем, </w:t>
      </w:r>
      <w:r w:rsidR="00DA44B5" w:rsidRPr="00DA44B5">
        <w:rPr>
          <w:noProof/>
          <w:sz w:val="28"/>
          <w:szCs w:val="28"/>
          <w:lang w:val="ru-RU"/>
        </w:rPr>
        <w:t>дошкольными и общеобразовательными учреждениями, объектами здравоохранения</w:t>
      </w:r>
      <w:r w:rsidR="00DA44B5">
        <w:rPr>
          <w:noProof/>
          <w:sz w:val="28"/>
          <w:szCs w:val="28"/>
          <w:lang w:val="ru-RU"/>
        </w:rPr>
        <w:t xml:space="preserve">) </w:t>
      </w:r>
      <w:r>
        <w:rPr>
          <w:noProof/>
          <w:sz w:val="28"/>
          <w:szCs w:val="28"/>
          <w:lang w:val="ru-RU"/>
        </w:rPr>
        <w:t>в кварталах реновации, в том числе установить долю вклада Программы реновации.</w:t>
      </w:r>
    </w:p>
    <w:p w14:paraId="01E99DB1" w14:textId="77777777" w:rsidR="005263A2" w:rsidRDefault="005263A2" w:rsidP="00592F4E">
      <w:pPr>
        <w:widowControl w:val="0"/>
        <w:ind w:firstLine="709"/>
        <w:jc w:val="both"/>
        <w:rPr>
          <w:sz w:val="28"/>
          <w:u w:val="single"/>
          <w:lang w:val="ru-RU"/>
        </w:rPr>
      </w:pPr>
    </w:p>
    <w:p w14:paraId="35EF1FB7" w14:textId="7AAAB4DE" w:rsidR="00BC2099" w:rsidRPr="00313244" w:rsidRDefault="00E8772B" w:rsidP="00592F4E">
      <w:pPr>
        <w:widowControl w:val="0"/>
        <w:ind w:firstLine="709"/>
        <w:jc w:val="both"/>
        <w:rPr>
          <w:sz w:val="28"/>
          <w:u w:val="single"/>
          <w:lang w:val="ru-RU"/>
        </w:rPr>
      </w:pPr>
      <w:r w:rsidRPr="00313244">
        <w:rPr>
          <w:sz w:val="28"/>
          <w:u w:val="single"/>
          <w:lang w:val="ru-RU"/>
        </w:rPr>
        <w:lastRenderedPageBreak/>
        <w:t>3</w:t>
      </w:r>
      <w:r w:rsidR="00BC2099" w:rsidRPr="00313244">
        <w:rPr>
          <w:sz w:val="28"/>
          <w:u w:val="single"/>
          <w:lang w:val="ru-RU"/>
        </w:rPr>
        <w:t>.3. В части приобретения квартир у инвесторов-застройщиков:</w:t>
      </w:r>
    </w:p>
    <w:p w14:paraId="31A077B6" w14:textId="77777777" w:rsidR="00BC2099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</w:t>
      </w:r>
      <w:r>
        <w:rPr>
          <w:noProof/>
          <w:sz w:val="28"/>
          <w:szCs w:val="28"/>
        </w:rPr>
        <w:t> </w:t>
      </w:r>
      <w:r>
        <w:rPr>
          <w:noProof/>
          <w:sz w:val="28"/>
          <w:szCs w:val="28"/>
          <w:lang w:val="ru-RU"/>
        </w:rPr>
        <w:t>определить количество и стоимость заключенных договоров участия в долевом строительстве, количество и площадь планируемых и фактически переданных Фонду реновации квартир по указанным договорам;</w:t>
      </w:r>
    </w:p>
    <w:p w14:paraId="25CCB3F4" w14:textId="5ADE53BD" w:rsidR="00BC2099" w:rsidRDefault="00BC2099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– установить своевременность </w:t>
      </w:r>
      <w:r w:rsidR="00DA44B5">
        <w:rPr>
          <w:noProof/>
          <w:sz w:val="28"/>
          <w:szCs w:val="28"/>
          <w:lang w:val="ru-RU"/>
        </w:rPr>
        <w:t xml:space="preserve">ввода в эксплуатацию домов, </w:t>
      </w:r>
      <w:r>
        <w:rPr>
          <w:noProof/>
          <w:sz w:val="28"/>
          <w:szCs w:val="28"/>
          <w:lang w:val="ru-RU"/>
        </w:rPr>
        <w:t>передачи квартир Фонду реновации согласно условиям заключенных договоров;</w:t>
      </w:r>
    </w:p>
    <w:p w14:paraId="39205AB4" w14:textId="77777777" w:rsidR="00BC2099" w:rsidRDefault="00BC2099" w:rsidP="00592F4E">
      <w:pPr>
        <w:widowControl w:val="0"/>
        <w:ind w:firstLine="709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– оценить </w:t>
      </w:r>
      <w:r w:rsidRPr="00043CC5">
        <w:rPr>
          <w:rFonts w:eastAsia="Times New Roman"/>
          <w:sz w:val="28"/>
          <w:szCs w:val="28"/>
          <w:lang w:val="ru-RU" w:eastAsia="ru-RU" w:bidi="ar-SA"/>
        </w:rPr>
        <w:t>целесообразност</w:t>
      </w:r>
      <w:r>
        <w:rPr>
          <w:rFonts w:eastAsia="Times New Roman"/>
          <w:sz w:val="28"/>
          <w:szCs w:val="28"/>
          <w:lang w:val="ru-RU" w:eastAsia="ru-RU" w:bidi="ar-SA"/>
        </w:rPr>
        <w:t>ь</w:t>
      </w:r>
      <w:r w:rsidRPr="00043CC5">
        <w:rPr>
          <w:rFonts w:eastAsia="Times New Roman"/>
          <w:sz w:val="28"/>
          <w:szCs w:val="28"/>
          <w:lang w:val="ru-RU" w:eastAsia="ru-RU" w:bidi="ar-SA"/>
        </w:rPr>
        <w:t xml:space="preserve"> приобретения жилья у инвесторов-застройщиков, в том числе если в районах приобретения предусмотрена комплексная квартальная застройка.</w:t>
      </w:r>
    </w:p>
    <w:p w14:paraId="669ADE34" w14:textId="39E0BDBE" w:rsidR="00433E02" w:rsidRPr="00CD7681" w:rsidRDefault="00433E02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b/>
          <w:sz w:val="28"/>
          <w:u w:val="single"/>
          <w:lang w:val="ru-RU"/>
        </w:rPr>
        <w:t xml:space="preserve">Группа </w:t>
      </w:r>
      <w:r w:rsidR="00651FB2">
        <w:rPr>
          <w:b/>
          <w:sz w:val="28"/>
          <w:u w:val="single"/>
          <w:lang w:val="ru-RU"/>
        </w:rPr>
        <w:t>4</w:t>
      </w:r>
      <w:r w:rsidRPr="00CD7681">
        <w:rPr>
          <w:b/>
          <w:sz w:val="28"/>
          <w:u w:val="single"/>
          <w:lang w:val="ru-RU"/>
        </w:rPr>
        <w:t>.</w:t>
      </w:r>
      <w:r w:rsidRPr="00CD7681">
        <w:rPr>
          <w:b/>
          <w:sz w:val="28"/>
          <w:lang w:val="ru-RU"/>
        </w:rPr>
        <w:t> Задачи по оценке состояния и динамики реализации мероприятий</w:t>
      </w:r>
      <w:r w:rsidR="001224E4">
        <w:rPr>
          <w:b/>
          <w:sz w:val="28"/>
          <w:lang w:val="ru-RU"/>
        </w:rPr>
        <w:t xml:space="preserve"> по переселению </w:t>
      </w:r>
      <w:r w:rsidRPr="00BF33E0">
        <w:rPr>
          <w:b/>
          <w:sz w:val="28"/>
          <w:lang w:val="ru-RU"/>
        </w:rPr>
        <w:t>граждан</w:t>
      </w:r>
      <w:r w:rsidRPr="00CD7681">
        <w:rPr>
          <w:b/>
          <w:sz w:val="28"/>
          <w:lang w:val="ru-RU"/>
        </w:rPr>
        <w:t>:</w:t>
      </w:r>
    </w:p>
    <w:p w14:paraId="53139E29" w14:textId="77777777" w:rsidR="00433E02" w:rsidRPr="00CD7681" w:rsidRDefault="00433E02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CD7681">
        <w:rPr>
          <w:noProof/>
          <w:sz w:val="28"/>
          <w:szCs w:val="28"/>
          <w:lang w:val="ru-RU"/>
        </w:rPr>
        <w:t>– оценить сведения о плановых и фактических значениях переселения жителей (семей) в дома, построенные в рамках Программы реновации, в отчетном периоде и нарастающим итогом;</w:t>
      </w:r>
    </w:p>
    <w:p w14:paraId="32A75AEB" w14:textId="7CF24C97" w:rsidR="00433E02" w:rsidRPr="00CD7681" w:rsidRDefault="00433E02" w:rsidP="00592F4E">
      <w:pPr>
        <w:widowControl w:val="0"/>
        <w:ind w:firstLine="709"/>
        <w:jc w:val="both"/>
        <w:rPr>
          <w:rFonts w:eastAsia="Times New Roman"/>
          <w:bCs/>
          <w:sz w:val="28"/>
          <w:szCs w:val="28"/>
          <w:lang w:val="ru-RU" w:eastAsia="ru-RU" w:bidi="ar-SA"/>
        </w:rPr>
      </w:pPr>
      <w:r w:rsidRPr="00CD7681">
        <w:rPr>
          <w:noProof/>
          <w:sz w:val="28"/>
          <w:szCs w:val="28"/>
          <w:lang w:val="ru-RU"/>
        </w:rPr>
        <w:t xml:space="preserve">– определить данные о решении посредством реализации Программы реновации жилищных проблем граждан, </w:t>
      </w:r>
      <w:r w:rsidR="001224E4">
        <w:rPr>
          <w:noProof/>
          <w:sz w:val="28"/>
          <w:szCs w:val="28"/>
          <w:lang w:val="ru-RU"/>
        </w:rPr>
        <w:t>со</w:t>
      </w:r>
      <w:r w:rsidRPr="00CD7681">
        <w:rPr>
          <w:noProof/>
          <w:sz w:val="28"/>
          <w:szCs w:val="28"/>
          <w:lang w:val="ru-RU"/>
        </w:rPr>
        <w:t>сто</w:t>
      </w:r>
      <w:r>
        <w:rPr>
          <w:noProof/>
          <w:sz w:val="28"/>
          <w:szCs w:val="28"/>
          <w:lang w:val="ru-RU"/>
        </w:rPr>
        <w:t>ящих на жилищном учете в городе </w:t>
      </w:r>
      <w:r w:rsidRPr="00CD7681">
        <w:rPr>
          <w:noProof/>
          <w:sz w:val="28"/>
          <w:szCs w:val="28"/>
          <w:lang w:val="ru-RU"/>
        </w:rPr>
        <w:t>Москве, а</w:t>
      </w:r>
      <w:r>
        <w:rPr>
          <w:rFonts w:eastAsia="Times New Roman"/>
          <w:bCs/>
          <w:sz w:val="28"/>
          <w:szCs w:val="28"/>
          <w:lang w:val="ru-RU" w:eastAsia="ru-RU" w:bidi="ar-SA"/>
        </w:rPr>
        <w:t xml:space="preserve"> </w:t>
      </w:r>
      <w:r w:rsidRPr="00CD7681">
        <w:rPr>
          <w:rFonts w:eastAsia="Times New Roman"/>
          <w:bCs/>
          <w:sz w:val="28"/>
          <w:szCs w:val="28"/>
          <w:lang w:val="ru-RU" w:eastAsia="ru-RU" w:bidi="ar-SA"/>
        </w:rPr>
        <w:t>также риски сокращения жилищного строительства непосредственно для таких граждан в связи с объемами</w:t>
      </w:r>
      <w:r>
        <w:rPr>
          <w:rFonts w:eastAsia="Times New Roman"/>
          <w:bCs/>
          <w:sz w:val="28"/>
          <w:szCs w:val="28"/>
          <w:lang w:val="ru-RU" w:eastAsia="ru-RU" w:bidi="ar-SA"/>
        </w:rPr>
        <w:t xml:space="preserve">, направляемыми в целях </w:t>
      </w:r>
      <w:r w:rsidRPr="00CD7681">
        <w:rPr>
          <w:rFonts w:eastAsia="Times New Roman"/>
          <w:bCs/>
          <w:sz w:val="28"/>
          <w:szCs w:val="28"/>
          <w:lang w:val="ru-RU" w:eastAsia="ru-RU" w:bidi="ar-SA"/>
        </w:rPr>
        <w:t>реализации Программы реновации;</w:t>
      </w:r>
    </w:p>
    <w:p w14:paraId="5957C2E9" w14:textId="77777777" w:rsidR="00433E02" w:rsidRPr="00CD7681" w:rsidRDefault="00433E02" w:rsidP="00592F4E">
      <w:pPr>
        <w:widowControl w:val="0"/>
        <w:ind w:firstLine="709"/>
        <w:jc w:val="both"/>
        <w:rPr>
          <w:rFonts w:eastAsia="Times New Roman"/>
          <w:bCs/>
          <w:sz w:val="28"/>
          <w:szCs w:val="28"/>
          <w:lang w:val="ru-RU" w:eastAsia="ru-RU" w:bidi="ar-SA"/>
        </w:rPr>
      </w:pPr>
      <w:r w:rsidRPr="00CD7681">
        <w:rPr>
          <w:rFonts w:eastAsia="Times New Roman"/>
          <w:bCs/>
          <w:sz w:val="28"/>
          <w:szCs w:val="28"/>
          <w:lang w:val="ru-RU" w:eastAsia="ru-RU" w:bidi="ar-SA"/>
        </w:rPr>
        <w:t>– установить факты содействия, оказанного участниками реализации Программы реновации, в организации и осуществлении переселения граждан;</w:t>
      </w:r>
    </w:p>
    <w:p w14:paraId="16DD40CF" w14:textId="77777777" w:rsidR="00433E02" w:rsidRPr="00CD7681" w:rsidRDefault="00433E02" w:rsidP="00592F4E">
      <w:pPr>
        <w:widowControl w:val="0"/>
        <w:ind w:firstLine="709"/>
        <w:jc w:val="both"/>
        <w:rPr>
          <w:sz w:val="28"/>
          <w:lang w:val="ru-RU"/>
        </w:rPr>
      </w:pPr>
      <w:r w:rsidRPr="00CD7681">
        <w:rPr>
          <w:sz w:val="28"/>
          <w:lang w:val="ru-RU"/>
        </w:rPr>
        <w:t xml:space="preserve">– определить </w:t>
      </w:r>
      <w:r>
        <w:rPr>
          <w:sz w:val="28"/>
          <w:lang w:val="ru-RU"/>
        </w:rPr>
        <w:t>соотношение</w:t>
      </w:r>
      <w:r w:rsidRPr="00CD7681">
        <w:rPr>
          <w:sz w:val="28"/>
          <w:lang w:val="ru-RU"/>
        </w:rPr>
        <w:t xml:space="preserve"> используемых жителями моделей переселения по</w:t>
      </w:r>
      <w:r>
        <w:rPr>
          <w:sz w:val="28"/>
          <w:lang w:val="ru-RU"/>
        </w:rPr>
        <w:t xml:space="preserve"> </w:t>
      </w:r>
      <w:r w:rsidRPr="00CD7681">
        <w:rPr>
          <w:sz w:val="28"/>
          <w:lang w:val="ru-RU"/>
        </w:rPr>
        <w:t xml:space="preserve">Программе реновации (равнозначные жилые помещения, равноценное возмещение, договоры мены), причины невостребованности той или иной модели. </w:t>
      </w:r>
    </w:p>
    <w:p w14:paraId="4676841F" w14:textId="1B4CE5E1" w:rsidR="00270EE2" w:rsidRDefault="00270EE2" w:rsidP="00592F4E">
      <w:pPr>
        <w:widowControl w:val="0"/>
        <w:ind w:firstLine="709"/>
        <w:jc w:val="both"/>
        <w:rPr>
          <w:sz w:val="28"/>
          <w:lang w:val="ru-RU"/>
        </w:rPr>
      </w:pPr>
      <w:r w:rsidRPr="00F43F85">
        <w:rPr>
          <w:b/>
          <w:sz w:val="28"/>
          <w:u w:val="single"/>
          <w:lang w:val="ru-RU"/>
        </w:rPr>
        <w:t xml:space="preserve">Группа </w:t>
      </w:r>
      <w:r w:rsidR="00651FB2">
        <w:rPr>
          <w:b/>
          <w:sz w:val="28"/>
          <w:u w:val="single"/>
          <w:lang w:val="ru-RU"/>
        </w:rPr>
        <w:t>5</w:t>
      </w:r>
      <w:r w:rsidRPr="00F43F85">
        <w:rPr>
          <w:b/>
          <w:sz w:val="28"/>
          <w:u w:val="single"/>
          <w:lang w:val="ru-RU"/>
        </w:rPr>
        <w:t>.</w:t>
      </w:r>
      <w:r>
        <w:rPr>
          <w:sz w:val="28"/>
          <w:lang w:val="ru-RU"/>
        </w:rPr>
        <w:t xml:space="preserve"> </w:t>
      </w:r>
      <w:r w:rsidRPr="00FB4075">
        <w:rPr>
          <w:b/>
          <w:sz w:val="28"/>
          <w:lang w:val="ru-RU"/>
        </w:rPr>
        <w:t>Задачи по оценке объемов и структуры финансового обеспечения реализации Программы реновации</w:t>
      </w:r>
      <w:r w:rsidR="007D012A">
        <w:rPr>
          <w:b/>
          <w:sz w:val="28"/>
          <w:lang w:val="ru-RU"/>
        </w:rPr>
        <w:t>:</w:t>
      </w:r>
    </w:p>
    <w:p w14:paraId="5694AAD9" w14:textId="72FDF6E0" w:rsidR="00D8311F" w:rsidRDefault="004F1DC9" w:rsidP="00592F4E">
      <w:pPr>
        <w:widowControl w:val="0"/>
        <w:ind w:firstLine="709"/>
        <w:jc w:val="both"/>
        <w:rPr>
          <w:rFonts w:eastAsia="Times New Roman"/>
          <w:sz w:val="28"/>
          <w:szCs w:val="22"/>
          <w:lang w:val="ru-RU" w:eastAsia="ru-RU" w:bidi="ar-SA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установить </w:t>
      </w:r>
      <w:r w:rsidR="0098188F">
        <w:rPr>
          <w:noProof/>
          <w:sz w:val="28"/>
          <w:szCs w:val="28"/>
          <w:lang w:val="ru-RU"/>
        </w:rPr>
        <w:t>структур</w:t>
      </w:r>
      <w:r w:rsidR="00EA1197">
        <w:rPr>
          <w:noProof/>
          <w:sz w:val="28"/>
          <w:szCs w:val="28"/>
          <w:lang w:val="ru-RU"/>
        </w:rPr>
        <w:t>у</w:t>
      </w:r>
      <w:r w:rsidR="0020676E">
        <w:rPr>
          <w:rFonts w:eastAsia="Times New Roman"/>
          <w:sz w:val="28"/>
          <w:szCs w:val="22"/>
          <w:lang w:val="ru-RU" w:eastAsia="ru-RU" w:bidi="ar-SA"/>
        </w:rPr>
        <w:t xml:space="preserve"> расходов </w:t>
      </w:r>
      <w:r w:rsidR="001224E4">
        <w:rPr>
          <w:rFonts w:eastAsia="Times New Roman"/>
          <w:sz w:val="28"/>
          <w:szCs w:val="22"/>
          <w:lang w:val="ru-RU" w:eastAsia="ru-RU" w:bidi="ar-SA"/>
        </w:rPr>
        <w:t xml:space="preserve">бюджетных средств города Москвы </w:t>
      </w:r>
      <w:r w:rsidR="0020676E">
        <w:rPr>
          <w:rFonts w:eastAsia="Times New Roman"/>
          <w:sz w:val="28"/>
          <w:szCs w:val="22"/>
          <w:lang w:val="ru-RU" w:eastAsia="ru-RU" w:bidi="ar-SA"/>
        </w:rPr>
        <w:t>по</w:t>
      </w:r>
      <w:r w:rsidR="001224E4">
        <w:rPr>
          <w:rFonts w:eastAsia="Times New Roman"/>
          <w:sz w:val="28"/>
          <w:szCs w:val="22"/>
          <w:lang w:val="ru-RU" w:eastAsia="ru-RU" w:bidi="ar-SA"/>
        </w:rPr>
        <w:t> </w:t>
      </w:r>
      <w:r w:rsidR="0020676E">
        <w:rPr>
          <w:rFonts w:eastAsia="Times New Roman"/>
          <w:sz w:val="28"/>
          <w:szCs w:val="22"/>
          <w:lang w:val="ru-RU" w:eastAsia="ru-RU" w:bidi="ar-SA"/>
        </w:rPr>
        <w:t>целевым статьям расходов и кодам бюджетной классификации, ее изменение в</w:t>
      </w:r>
      <w:r w:rsidR="001224E4">
        <w:rPr>
          <w:rFonts w:eastAsia="Times New Roman"/>
          <w:sz w:val="28"/>
          <w:szCs w:val="22"/>
          <w:lang w:val="ru-RU" w:eastAsia="ru-RU" w:bidi="ar-SA"/>
        </w:rPr>
        <w:t> </w:t>
      </w:r>
      <w:r w:rsidR="0020676E">
        <w:rPr>
          <w:rFonts w:eastAsia="Times New Roman"/>
          <w:sz w:val="28"/>
          <w:szCs w:val="22"/>
          <w:lang w:val="ru-RU" w:eastAsia="ru-RU" w:bidi="ar-SA"/>
        </w:rPr>
        <w:t>отчетном периоде</w:t>
      </w:r>
      <w:r w:rsidR="0014258D">
        <w:rPr>
          <w:rFonts w:eastAsia="Times New Roman"/>
          <w:sz w:val="28"/>
          <w:szCs w:val="22"/>
          <w:lang w:val="ru-RU" w:eastAsia="ru-RU" w:bidi="ar-SA"/>
        </w:rPr>
        <w:t>;</w:t>
      </w:r>
    </w:p>
    <w:p w14:paraId="5D6D96D4" w14:textId="06C9722A" w:rsidR="0014258D" w:rsidRDefault="0014258D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определить </w:t>
      </w:r>
      <w:r w:rsidR="00375CEA">
        <w:rPr>
          <w:noProof/>
          <w:sz w:val="28"/>
          <w:szCs w:val="28"/>
          <w:lang w:val="ru-RU"/>
        </w:rPr>
        <w:t>абсолютны</w:t>
      </w:r>
      <w:r w:rsidR="0098188F">
        <w:rPr>
          <w:noProof/>
          <w:sz w:val="28"/>
          <w:szCs w:val="28"/>
          <w:lang w:val="ru-RU"/>
        </w:rPr>
        <w:t>е</w:t>
      </w:r>
      <w:r w:rsidR="00375CEA">
        <w:rPr>
          <w:noProof/>
          <w:sz w:val="28"/>
          <w:szCs w:val="28"/>
          <w:lang w:val="ru-RU"/>
        </w:rPr>
        <w:t xml:space="preserve"> и относительны</w:t>
      </w:r>
      <w:r w:rsidR="0098188F">
        <w:rPr>
          <w:noProof/>
          <w:sz w:val="28"/>
          <w:szCs w:val="28"/>
          <w:lang w:val="ru-RU"/>
        </w:rPr>
        <w:t>е</w:t>
      </w:r>
      <w:r w:rsidR="00375CEA">
        <w:rPr>
          <w:noProof/>
          <w:sz w:val="28"/>
          <w:szCs w:val="28"/>
          <w:lang w:val="ru-RU"/>
        </w:rPr>
        <w:t xml:space="preserve"> значени</w:t>
      </w:r>
      <w:r w:rsidR="0098188F">
        <w:rPr>
          <w:noProof/>
          <w:sz w:val="28"/>
          <w:szCs w:val="28"/>
          <w:lang w:val="ru-RU"/>
        </w:rPr>
        <w:t>я</w:t>
      </w:r>
      <w:r w:rsidR="00375CEA">
        <w:rPr>
          <w:noProof/>
          <w:sz w:val="28"/>
          <w:szCs w:val="28"/>
          <w:lang w:val="ru-RU"/>
        </w:rPr>
        <w:t xml:space="preserve"> исполнения плановых показателей со счетов главных распорядителей бюджетных средств, иных участников и неучастников бюджетного процесса</w:t>
      </w:r>
      <w:r>
        <w:rPr>
          <w:noProof/>
          <w:sz w:val="28"/>
          <w:szCs w:val="28"/>
          <w:lang w:val="ru-RU"/>
        </w:rPr>
        <w:t>;</w:t>
      </w:r>
    </w:p>
    <w:p w14:paraId="1074BBDC" w14:textId="70D41E2A" w:rsidR="0014258D" w:rsidRDefault="0014258D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установить </w:t>
      </w:r>
      <w:r w:rsidR="0098188F">
        <w:rPr>
          <w:noProof/>
          <w:sz w:val="28"/>
          <w:szCs w:val="28"/>
          <w:lang w:val="ru-RU"/>
        </w:rPr>
        <w:t>причины</w:t>
      </w:r>
      <w:r>
        <w:rPr>
          <w:noProof/>
          <w:sz w:val="28"/>
          <w:szCs w:val="28"/>
          <w:lang w:val="ru-RU"/>
        </w:rPr>
        <w:t xml:space="preserve"> низкого испо</w:t>
      </w:r>
      <w:r w:rsidR="00C34FD1">
        <w:rPr>
          <w:noProof/>
          <w:sz w:val="28"/>
          <w:szCs w:val="28"/>
          <w:lang w:val="ru-RU"/>
        </w:rPr>
        <w:t>лнения бюджетных ассигнований в </w:t>
      </w:r>
      <w:r>
        <w:rPr>
          <w:noProof/>
          <w:sz w:val="28"/>
          <w:szCs w:val="28"/>
          <w:lang w:val="ru-RU"/>
        </w:rPr>
        <w:t>отчетном периоде</w:t>
      </w:r>
      <w:r w:rsidR="00DA44B5">
        <w:rPr>
          <w:rStyle w:val="a7"/>
          <w:noProof/>
          <w:sz w:val="28"/>
          <w:szCs w:val="28"/>
          <w:lang w:val="ru-RU"/>
        </w:rPr>
        <w:footnoteReference w:id="8"/>
      </w:r>
      <w:r>
        <w:rPr>
          <w:noProof/>
          <w:sz w:val="28"/>
          <w:szCs w:val="28"/>
          <w:lang w:val="ru-RU"/>
        </w:rPr>
        <w:t>;</w:t>
      </w:r>
    </w:p>
    <w:p w14:paraId="7CA81DD1" w14:textId="3C7ADDB5" w:rsidR="00375CEA" w:rsidRDefault="0014258D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представить общие </w:t>
      </w:r>
      <w:r w:rsidR="0098188F">
        <w:rPr>
          <w:noProof/>
          <w:sz w:val="28"/>
          <w:szCs w:val="28"/>
          <w:lang w:val="ru-RU"/>
        </w:rPr>
        <w:t>сведения об</w:t>
      </w:r>
      <w:r w:rsidR="00375CEA">
        <w:rPr>
          <w:noProof/>
          <w:sz w:val="28"/>
          <w:szCs w:val="28"/>
          <w:lang w:val="ru-RU"/>
        </w:rPr>
        <w:t xml:space="preserve"> </w:t>
      </w:r>
      <w:r w:rsidR="00C73370">
        <w:rPr>
          <w:noProof/>
          <w:sz w:val="28"/>
          <w:szCs w:val="28"/>
          <w:lang w:val="ru-RU"/>
        </w:rPr>
        <w:t>исполнени</w:t>
      </w:r>
      <w:r w:rsidR="0098188F">
        <w:rPr>
          <w:noProof/>
          <w:sz w:val="28"/>
          <w:szCs w:val="28"/>
          <w:lang w:val="ru-RU"/>
        </w:rPr>
        <w:t>и</w:t>
      </w:r>
      <w:r w:rsidR="00C73370">
        <w:rPr>
          <w:noProof/>
          <w:sz w:val="28"/>
          <w:szCs w:val="28"/>
          <w:lang w:val="ru-RU"/>
        </w:rPr>
        <w:t xml:space="preserve"> бюджета</w:t>
      </w:r>
      <w:r w:rsidR="00375CEA">
        <w:rPr>
          <w:noProof/>
          <w:sz w:val="28"/>
          <w:szCs w:val="28"/>
          <w:lang w:val="ru-RU"/>
        </w:rPr>
        <w:t xml:space="preserve"> </w:t>
      </w:r>
      <w:r w:rsidR="001224E4">
        <w:rPr>
          <w:noProof/>
          <w:sz w:val="28"/>
          <w:szCs w:val="28"/>
          <w:lang w:val="ru-RU"/>
        </w:rPr>
        <w:t xml:space="preserve">города Москвы </w:t>
      </w:r>
      <w:r w:rsidR="00375CEA">
        <w:rPr>
          <w:noProof/>
          <w:sz w:val="28"/>
          <w:szCs w:val="28"/>
          <w:lang w:val="ru-RU"/>
        </w:rPr>
        <w:t>отдельны</w:t>
      </w:r>
      <w:r w:rsidR="00C73370">
        <w:rPr>
          <w:noProof/>
          <w:sz w:val="28"/>
          <w:szCs w:val="28"/>
          <w:lang w:val="ru-RU"/>
        </w:rPr>
        <w:t>ми</w:t>
      </w:r>
      <w:r w:rsidR="00375CEA">
        <w:rPr>
          <w:noProof/>
          <w:sz w:val="28"/>
          <w:szCs w:val="28"/>
          <w:lang w:val="ru-RU"/>
        </w:rPr>
        <w:t xml:space="preserve"> главны</w:t>
      </w:r>
      <w:r w:rsidR="00C73370">
        <w:rPr>
          <w:noProof/>
          <w:sz w:val="28"/>
          <w:szCs w:val="28"/>
          <w:lang w:val="ru-RU"/>
        </w:rPr>
        <w:t>ми</w:t>
      </w:r>
      <w:r w:rsidR="00375CEA">
        <w:rPr>
          <w:noProof/>
          <w:sz w:val="28"/>
          <w:szCs w:val="28"/>
          <w:lang w:val="ru-RU"/>
        </w:rPr>
        <w:t xml:space="preserve"> распорядите</w:t>
      </w:r>
      <w:r w:rsidR="00C73370">
        <w:rPr>
          <w:noProof/>
          <w:sz w:val="28"/>
          <w:szCs w:val="28"/>
          <w:lang w:val="ru-RU"/>
        </w:rPr>
        <w:t xml:space="preserve">лями </w:t>
      </w:r>
      <w:r w:rsidR="00375CEA">
        <w:rPr>
          <w:noProof/>
          <w:sz w:val="28"/>
          <w:szCs w:val="28"/>
          <w:lang w:val="ru-RU"/>
        </w:rPr>
        <w:t>бюджетных средств</w:t>
      </w:r>
      <w:r w:rsidR="006B6673">
        <w:rPr>
          <w:rStyle w:val="a7"/>
          <w:noProof/>
          <w:sz w:val="28"/>
          <w:szCs w:val="28"/>
          <w:lang w:val="ru-RU"/>
        </w:rPr>
        <w:footnoteReference w:id="9"/>
      </w:r>
      <w:r w:rsidR="00C73370">
        <w:rPr>
          <w:noProof/>
          <w:sz w:val="28"/>
          <w:szCs w:val="28"/>
          <w:lang w:val="ru-RU"/>
        </w:rPr>
        <w:t xml:space="preserve"> в части сроков и форм доведения финансовых ресурсов до исполнителей, а также фактической реализации обеспечиваемых за счет средств</w:t>
      </w:r>
      <w:r w:rsidR="001224E4">
        <w:rPr>
          <w:noProof/>
          <w:sz w:val="28"/>
          <w:szCs w:val="28"/>
          <w:lang w:val="ru-RU"/>
        </w:rPr>
        <w:t xml:space="preserve"> бюджета города Москвы</w:t>
      </w:r>
      <w:r w:rsidR="00C73370">
        <w:rPr>
          <w:noProof/>
          <w:sz w:val="28"/>
          <w:szCs w:val="28"/>
          <w:lang w:val="ru-RU"/>
        </w:rPr>
        <w:t xml:space="preserve"> мероприятий</w:t>
      </w:r>
      <w:r w:rsidR="001E13F4">
        <w:rPr>
          <w:noProof/>
          <w:sz w:val="28"/>
          <w:szCs w:val="28"/>
          <w:lang w:val="ru-RU"/>
        </w:rPr>
        <w:t>;</w:t>
      </w:r>
    </w:p>
    <w:p w14:paraId="3D0B89CD" w14:textId="1A428BCB" w:rsidR="004D36B5" w:rsidRPr="003944F6" w:rsidRDefault="009B0B56" w:rsidP="00592F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– </w:t>
      </w:r>
      <w:r w:rsidR="00EA1197">
        <w:rPr>
          <w:sz w:val="28"/>
          <w:szCs w:val="28"/>
          <w:lang w:val="ru-RU"/>
        </w:rPr>
        <w:t xml:space="preserve">установить </w:t>
      </w:r>
      <w:r w:rsidR="0098188F">
        <w:rPr>
          <w:sz w:val="28"/>
          <w:szCs w:val="28"/>
          <w:lang w:val="ru-RU"/>
        </w:rPr>
        <w:t>факты</w:t>
      </w:r>
      <w:r w:rsidR="004D36B5" w:rsidRPr="003944F6">
        <w:rPr>
          <w:sz w:val="28"/>
          <w:szCs w:val="28"/>
          <w:lang w:val="ru-RU"/>
        </w:rPr>
        <w:t xml:space="preserve"> </w:t>
      </w:r>
      <w:r w:rsidR="00203370" w:rsidRPr="003944F6">
        <w:rPr>
          <w:sz w:val="28"/>
          <w:szCs w:val="28"/>
          <w:lang w:val="ru-RU"/>
        </w:rPr>
        <w:t xml:space="preserve">превышения </w:t>
      </w:r>
      <w:r w:rsidR="004D36B5" w:rsidRPr="003944F6">
        <w:rPr>
          <w:sz w:val="28"/>
          <w:szCs w:val="28"/>
          <w:lang w:val="ru-RU"/>
        </w:rPr>
        <w:t>объемов</w:t>
      </w:r>
      <w:r w:rsidR="008A5EB3">
        <w:rPr>
          <w:sz w:val="28"/>
          <w:szCs w:val="28"/>
          <w:lang w:val="ru-RU"/>
        </w:rPr>
        <w:t xml:space="preserve"> фина</w:t>
      </w:r>
      <w:r w:rsidR="00F0379A">
        <w:rPr>
          <w:sz w:val="28"/>
          <w:szCs w:val="28"/>
          <w:lang w:val="ru-RU"/>
        </w:rPr>
        <w:t>н</w:t>
      </w:r>
      <w:r w:rsidR="008A5EB3">
        <w:rPr>
          <w:sz w:val="28"/>
          <w:szCs w:val="28"/>
          <w:lang w:val="ru-RU"/>
        </w:rPr>
        <w:t>сирования</w:t>
      </w:r>
      <w:r w:rsidR="004D36B5" w:rsidRPr="003944F6">
        <w:rPr>
          <w:sz w:val="28"/>
          <w:szCs w:val="28"/>
          <w:lang w:val="ru-RU"/>
        </w:rPr>
        <w:t xml:space="preserve">, установленных </w:t>
      </w:r>
      <w:r>
        <w:rPr>
          <w:sz w:val="28"/>
          <w:szCs w:val="28"/>
          <w:lang w:val="ru-RU"/>
        </w:rPr>
        <w:t>в плановых финансовых документах</w:t>
      </w:r>
      <w:r w:rsidR="004D36B5" w:rsidRPr="003944F6">
        <w:rPr>
          <w:sz w:val="28"/>
          <w:szCs w:val="28"/>
          <w:lang w:val="ru-RU"/>
        </w:rPr>
        <w:t xml:space="preserve">, </w:t>
      </w:r>
      <w:r w:rsidR="003944F6" w:rsidRPr="003944F6">
        <w:rPr>
          <w:sz w:val="28"/>
          <w:szCs w:val="28"/>
          <w:lang w:val="ru-RU"/>
        </w:rPr>
        <w:t>над</w:t>
      </w:r>
      <w:r w:rsidR="004D36B5" w:rsidRPr="003944F6">
        <w:rPr>
          <w:sz w:val="28"/>
          <w:szCs w:val="28"/>
          <w:lang w:val="ru-RU"/>
        </w:rPr>
        <w:t xml:space="preserve"> сформированными твердыми договорными ценами по</w:t>
      </w:r>
      <w:r>
        <w:rPr>
          <w:sz w:val="28"/>
          <w:szCs w:val="28"/>
          <w:lang w:val="ru-RU"/>
        </w:rPr>
        <w:t xml:space="preserve"> </w:t>
      </w:r>
      <w:r w:rsidR="004D36B5" w:rsidRPr="003944F6">
        <w:rPr>
          <w:sz w:val="28"/>
          <w:szCs w:val="28"/>
          <w:lang w:val="ru-RU"/>
        </w:rPr>
        <w:t>введенным в</w:t>
      </w:r>
      <w:r>
        <w:rPr>
          <w:sz w:val="28"/>
          <w:szCs w:val="28"/>
          <w:lang w:val="ru-RU"/>
        </w:rPr>
        <w:t xml:space="preserve"> </w:t>
      </w:r>
      <w:r w:rsidR="004D36B5" w:rsidRPr="003944F6">
        <w:rPr>
          <w:sz w:val="28"/>
          <w:szCs w:val="28"/>
          <w:lang w:val="ru-RU"/>
        </w:rPr>
        <w:t xml:space="preserve">эксплуатацию </w:t>
      </w:r>
      <w:r>
        <w:rPr>
          <w:sz w:val="28"/>
          <w:szCs w:val="28"/>
          <w:lang w:val="ru-RU"/>
        </w:rPr>
        <w:t>домам</w:t>
      </w:r>
      <w:r w:rsidR="004D36B5" w:rsidRPr="003944F6">
        <w:rPr>
          <w:sz w:val="28"/>
          <w:szCs w:val="28"/>
          <w:lang w:val="ru-RU"/>
        </w:rPr>
        <w:t xml:space="preserve"> по</w:t>
      </w:r>
      <w:r w:rsidR="00E34564">
        <w:rPr>
          <w:sz w:val="28"/>
          <w:szCs w:val="28"/>
          <w:lang w:val="ru-RU"/>
        </w:rPr>
        <w:t> </w:t>
      </w:r>
      <w:r w:rsidR="004D36B5" w:rsidRPr="003944F6">
        <w:rPr>
          <w:sz w:val="28"/>
          <w:szCs w:val="28"/>
          <w:lang w:val="ru-RU"/>
        </w:rPr>
        <w:t>состоянию на анализируемую дату</w:t>
      </w:r>
      <w:r w:rsidR="00C34FD1">
        <w:rPr>
          <w:rStyle w:val="a7"/>
          <w:sz w:val="28"/>
          <w:szCs w:val="28"/>
          <w:lang w:val="ru-RU"/>
        </w:rPr>
        <w:footnoteReference w:id="10"/>
      </w:r>
      <w:r w:rsidR="001E13F4">
        <w:rPr>
          <w:sz w:val="28"/>
          <w:szCs w:val="28"/>
          <w:lang w:val="ru-RU"/>
        </w:rPr>
        <w:t>;</w:t>
      </w:r>
    </w:p>
    <w:p w14:paraId="52BA7809" w14:textId="0025D954" w:rsidR="00D70FD5" w:rsidRPr="00D70FD5" w:rsidRDefault="009B0B56" w:rsidP="00592F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EA1197">
        <w:rPr>
          <w:sz w:val="28"/>
          <w:szCs w:val="28"/>
          <w:lang w:val="ru-RU"/>
        </w:rPr>
        <w:t xml:space="preserve">выявить </w:t>
      </w:r>
      <w:r w:rsidR="0098188F">
        <w:rPr>
          <w:sz w:val="28"/>
          <w:szCs w:val="28"/>
          <w:lang w:val="ru-RU"/>
        </w:rPr>
        <w:t>риски</w:t>
      </w:r>
      <w:r w:rsidR="00D70FD5" w:rsidRPr="00D70FD5">
        <w:rPr>
          <w:rFonts w:eastAsia="Calibri"/>
          <w:sz w:val="28"/>
          <w:szCs w:val="28"/>
          <w:lang w:val="ru-RU"/>
        </w:rPr>
        <w:t xml:space="preserve"> необеспеченности достаточного уровня бюджетного финансирования при принятии участниками Программы реновации долгосрочных обязательств</w:t>
      </w:r>
      <w:r w:rsidR="00A75522" w:rsidRPr="00A75522">
        <w:rPr>
          <w:rFonts w:eastAsia="Calibri"/>
          <w:sz w:val="28"/>
          <w:szCs w:val="28"/>
          <w:lang w:val="ru-RU"/>
        </w:rPr>
        <w:t xml:space="preserve"> </w:t>
      </w:r>
      <w:r w:rsidR="00A75522">
        <w:rPr>
          <w:rFonts w:eastAsia="Calibri"/>
          <w:sz w:val="28"/>
          <w:szCs w:val="28"/>
          <w:lang w:val="ru-RU"/>
        </w:rPr>
        <w:t>(например, при заключении Фондом реновации договоров на комплексную квартальную застройку)</w:t>
      </w:r>
      <w:r w:rsidR="001E13F4">
        <w:rPr>
          <w:rFonts w:eastAsia="Calibri"/>
          <w:sz w:val="28"/>
          <w:szCs w:val="28"/>
          <w:lang w:val="ru-RU"/>
        </w:rPr>
        <w:t>;</w:t>
      </w:r>
    </w:p>
    <w:p w14:paraId="39DB672D" w14:textId="7FD2F902" w:rsidR="00E2531E" w:rsidRDefault="009B0B56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eastAsia="Calibri"/>
          <w:sz w:val="28"/>
          <w:lang w:val="ru-RU"/>
        </w:rPr>
        <w:t>– </w:t>
      </w:r>
      <w:r w:rsidR="00EA1197">
        <w:rPr>
          <w:rFonts w:eastAsia="Calibri"/>
          <w:sz w:val="28"/>
          <w:lang w:val="ru-RU"/>
        </w:rPr>
        <w:t xml:space="preserve">установить </w:t>
      </w:r>
      <w:r w:rsidR="0098188F">
        <w:rPr>
          <w:rFonts w:eastAsia="Calibri"/>
          <w:sz w:val="28"/>
          <w:lang w:val="ru-RU"/>
        </w:rPr>
        <w:t>структур</w:t>
      </w:r>
      <w:r w:rsidR="00EA1197">
        <w:rPr>
          <w:rFonts w:eastAsia="Calibri"/>
          <w:sz w:val="28"/>
          <w:lang w:val="ru-RU"/>
        </w:rPr>
        <w:t xml:space="preserve">у </w:t>
      </w:r>
      <w:r w:rsidR="0098188F">
        <w:rPr>
          <w:rFonts w:eastAsia="Calibri"/>
          <w:sz w:val="28"/>
          <w:lang w:val="ru-RU"/>
        </w:rPr>
        <w:t>и направления</w:t>
      </w:r>
      <w:r w:rsidR="00E2531E">
        <w:rPr>
          <w:noProof/>
          <w:sz w:val="28"/>
          <w:szCs w:val="28"/>
          <w:lang w:val="ru-RU"/>
        </w:rPr>
        <w:t xml:space="preserve"> использования Фондом реновации полученных субсидий, изменение</w:t>
      </w:r>
      <w:r w:rsidR="006D2115">
        <w:rPr>
          <w:noProof/>
          <w:sz w:val="28"/>
          <w:szCs w:val="28"/>
          <w:lang w:val="ru-RU"/>
        </w:rPr>
        <w:t xml:space="preserve"> пропорций в отчетном периоде с </w:t>
      </w:r>
      <w:r w:rsidR="00E2531E">
        <w:rPr>
          <w:noProof/>
          <w:sz w:val="28"/>
          <w:szCs w:val="28"/>
          <w:lang w:val="ru-RU"/>
        </w:rPr>
        <w:t>определением соответствующих причин</w:t>
      </w:r>
      <w:r w:rsidR="001E13F4">
        <w:rPr>
          <w:noProof/>
          <w:sz w:val="28"/>
          <w:szCs w:val="28"/>
          <w:lang w:val="ru-RU"/>
        </w:rPr>
        <w:t>;</w:t>
      </w:r>
    </w:p>
    <w:p w14:paraId="0F3A201C" w14:textId="4B498EB7" w:rsidR="00E2531E" w:rsidRDefault="009B0B56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оценить </w:t>
      </w:r>
      <w:r w:rsidR="0098188F">
        <w:rPr>
          <w:noProof/>
          <w:sz w:val="28"/>
          <w:szCs w:val="28"/>
          <w:lang w:val="ru-RU"/>
        </w:rPr>
        <w:t xml:space="preserve">степень </w:t>
      </w:r>
      <w:r w:rsidR="00E2531E">
        <w:rPr>
          <w:noProof/>
          <w:sz w:val="28"/>
          <w:szCs w:val="28"/>
          <w:lang w:val="ru-RU"/>
        </w:rPr>
        <w:t>участия частных инвесторов в реализации мероприятий Программы реновации, в том числе на основе механизмов государственно-частного партнерства (виды, структура, объемы участия);</w:t>
      </w:r>
    </w:p>
    <w:p w14:paraId="7D4A067C" w14:textId="647B760E" w:rsidR="00604ED4" w:rsidRDefault="00E2531E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установить </w:t>
      </w:r>
      <w:r w:rsidR="0098188F">
        <w:rPr>
          <w:noProof/>
          <w:sz w:val="28"/>
          <w:szCs w:val="28"/>
          <w:lang w:val="ru-RU"/>
        </w:rPr>
        <w:t>дол</w:t>
      </w:r>
      <w:r w:rsidR="00EA1197">
        <w:rPr>
          <w:noProof/>
          <w:sz w:val="28"/>
          <w:szCs w:val="28"/>
          <w:lang w:val="ru-RU"/>
        </w:rPr>
        <w:t>ю</w:t>
      </w:r>
      <w:r w:rsidR="0098188F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доходной части в деятельности Фонда реновации (например, от</w:t>
      </w:r>
      <w:r w:rsidR="00C34FD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коммерческой продажи части квартир во вве</w:t>
      </w:r>
      <w:r w:rsidR="00C34FD1">
        <w:rPr>
          <w:noProof/>
          <w:sz w:val="28"/>
          <w:szCs w:val="28"/>
          <w:lang w:val="ru-RU"/>
        </w:rPr>
        <w:t>денных в </w:t>
      </w:r>
      <w:r>
        <w:rPr>
          <w:noProof/>
          <w:sz w:val="28"/>
          <w:szCs w:val="28"/>
          <w:lang w:val="ru-RU"/>
        </w:rPr>
        <w:t xml:space="preserve">эксплуатацию </w:t>
      </w:r>
      <w:r w:rsidR="009B0B56">
        <w:rPr>
          <w:noProof/>
          <w:sz w:val="28"/>
          <w:szCs w:val="28"/>
          <w:lang w:val="ru-RU"/>
        </w:rPr>
        <w:t>дом</w:t>
      </w:r>
      <w:r w:rsidR="00605DCA">
        <w:rPr>
          <w:noProof/>
          <w:sz w:val="28"/>
          <w:szCs w:val="28"/>
          <w:lang w:val="ru-RU"/>
        </w:rPr>
        <w:t>ах</w:t>
      </w:r>
      <w:r>
        <w:rPr>
          <w:noProof/>
          <w:sz w:val="28"/>
          <w:szCs w:val="28"/>
          <w:lang w:val="ru-RU"/>
        </w:rPr>
        <w:t xml:space="preserve">, от металоллома, образовавшегося в результате сноса, </w:t>
      </w:r>
      <w:r w:rsidR="00A9308D" w:rsidRPr="00E2531E">
        <w:rPr>
          <w:rFonts w:eastAsia="Calibri"/>
          <w:sz w:val="28"/>
          <w:szCs w:val="28"/>
          <w:lang w:val="ru-RU"/>
        </w:rPr>
        <w:t>штрафных санкций за нарушение подрядными организациями договорных обязательств</w:t>
      </w:r>
      <w:r w:rsidR="00A9308D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и т.п.)</w:t>
      </w:r>
      <w:r w:rsidR="00604ED4">
        <w:rPr>
          <w:noProof/>
          <w:sz w:val="28"/>
          <w:szCs w:val="28"/>
          <w:lang w:val="ru-RU"/>
        </w:rPr>
        <w:t>;</w:t>
      </w:r>
    </w:p>
    <w:p w14:paraId="77427E88" w14:textId="1EB745EE" w:rsidR="00E2531E" w:rsidRDefault="00604ED4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оценить </w:t>
      </w:r>
      <w:r w:rsidR="0098188F">
        <w:rPr>
          <w:noProof/>
          <w:sz w:val="28"/>
          <w:szCs w:val="28"/>
          <w:lang w:val="ru-RU"/>
        </w:rPr>
        <w:t>соответствие</w:t>
      </w:r>
      <w:r>
        <w:rPr>
          <w:noProof/>
          <w:sz w:val="28"/>
          <w:szCs w:val="28"/>
          <w:lang w:val="ru-RU"/>
        </w:rPr>
        <w:t xml:space="preserve"> направлений использования полученных Фондом реновации доходов целям, утвержденным Советом Фонда реновации</w:t>
      </w:r>
      <w:r w:rsidR="00765B12">
        <w:rPr>
          <w:noProof/>
          <w:sz w:val="28"/>
          <w:szCs w:val="28"/>
          <w:lang w:val="ru-RU"/>
        </w:rPr>
        <w:t>;</w:t>
      </w:r>
    </w:p>
    <w:p w14:paraId="13643A54" w14:textId="073ADEDD" w:rsidR="007772B7" w:rsidRPr="00E34564" w:rsidRDefault="00E2531E" w:rsidP="00592F4E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</w:t>
      </w:r>
      <w:r w:rsidR="00EA1197">
        <w:rPr>
          <w:noProof/>
          <w:sz w:val="28"/>
          <w:szCs w:val="28"/>
          <w:lang w:val="ru-RU"/>
        </w:rPr>
        <w:t xml:space="preserve">установить </w:t>
      </w:r>
      <w:r w:rsidR="0098188F">
        <w:rPr>
          <w:noProof/>
          <w:sz w:val="28"/>
          <w:szCs w:val="28"/>
          <w:lang w:val="ru-RU"/>
        </w:rPr>
        <w:t>планируемые сроки</w:t>
      </w:r>
      <w:r w:rsidR="00604ED4">
        <w:rPr>
          <w:noProof/>
          <w:sz w:val="28"/>
          <w:szCs w:val="28"/>
          <w:lang w:val="ru-RU"/>
        </w:rPr>
        <w:t xml:space="preserve"> выхода Программы реновации на</w:t>
      </w:r>
      <w:r w:rsidR="00E96024">
        <w:rPr>
          <w:noProof/>
          <w:sz w:val="28"/>
          <w:szCs w:val="28"/>
          <w:lang w:val="ru-RU"/>
        </w:rPr>
        <w:t> </w:t>
      </w:r>
      <w:r w:rsidR="00604ED4">
        <w:rPr>
          <w:noProof/>
          <w:sz w:val="28"/>
          <w:szCs w:val="28"/>
          <w:lang w:val="ru-RU"/>
        </w:rPr>
        <w:t>самоокупаемость</w:t>
      </w:r>
      <w:r w:rsidR="009B0B56">
        <w:rPr>
          <w:sz w:val="28"/>
          <w:szCs w:val="28"/>
          <w:lang w:val="ru-RU"/>
        </w:rPr>
        <w:t xml:space="preserve"> </w:t>
      </w:r>
      <w:r w:rsidR="00604ED4">
        <w:rPr>
          <w:noProof/>
          <w:sz w:val="28"/>
          <w:szCs w:val="28"/>
          <w:lang w:val="ru-RU"/>
        </w:rPr>
        <w:t>за счет продажи свободных площадей на рынке, перспектив</w:t>
      </w:r>
      <w:r w:rsidR="00E15101">
        <w:rPr>
          <w:noProof/>
          <w:sz w:val="28"/>
          <w:szCs w:val="28"/>
          <w:lang w:val="ru-RU"/>
        </w:rPr>
        <w:t>ы</w:t>
      </w:r>
      <w:r w:rsidR="00604ED4">
        <w:rPr>
          <w:noProof/>
          <w:sz w:val="28"/>
          <w:szCs w:val="28"/>
          <w:lang w:val="ru-RU"/>
        </w:rPr>
        <w:t xml:space="preserve"> </w:t>
      </w:r>
      <w:r w:rsidR="00E96024">
        <w:rPr>
          <w:noProof/>
          <w:sz w:val="28"/>
          <w:szCs w:val="28"/>
          <w:lang w:val="ru-RU"/>
        </w:rPr>
        <w:t>сокращения обязательств, финансируемых за счет</w:t>
      </w:r>
      <w:r w:rsidR="00604ED4">
        <w:rPr>
          <w:noProof/>
          <w:sz w:val="28"/>
          <w:szCs w:val="28"/>
          <w:lang w:val="ru-RU"/>
        </w:rPr>
        <w:t xml:space="preserve"> </w:t>
      </w:r>
      <w:r w:rsidR="00485055">
        <w:rPr>
          <w:noProof/>
          <w:sz w:val="28"/>
          <w:szCs w:val="28"/>
          <w:lang w:val="ru-RU"/>
        </w:rPr>
        <w:t xml:space="preserve">средств </w:t>
      </w:r>
      <w:r w:rsidR="00604ED4">
        <w:rPr>
          <w:noProof/>
          <w:sz w:val="28"/>
          <w:szCs w:val="28"/>
          <w:lang w:val="ru-RU"/>
        </w:rPr>
        <w:t xml:space="preserve">бюджета города Москвы в период до </w:t>
      </w:r>
      <w:r w:rsidR="00A9308D">
        <w:rPr>
          <w:noProof/>
          <w:sz w:val="28"/>
          <w:szCs w:val="28"/>
          <w:lang w:val="ru-RU"/>
        </w:rPr>
        <w:t>окончания реализации Программы реновации (</w:t>
      </w:r>
      <w:r w:rsidR="00604ED4">
        <w:rPr>
          <w:noProof/>
          <w:sz w:val="28"/>
          <w:szCs w:val="28"/>
          <w:lang w:val="ru-RU"/>
        </w:rPr>
        <w:t>2032 год</w:t>
      </w:r>
      <w:r w:rsidR="00A9308D">
        <w:rPr>
          <w:noProof/>
          <w:sz w:val="28"/>
          <w:szCs w:val="28"/>
          <w:lang w:val="ru-RU"/>
        </w:rPr>
        <w:t>)</w:t>
      </w:r>
      <w:r w:rsidR="00604ED4">
        <w:rPr>
          <w:noProof/>
          <w:sz w:val="28"/>
          <w:szCs w:val="28"/>
          <w:lang w:val="ru-RU"/>
        </w:rPr>
        <w:t>.</w:t>
      </w:r>
    </w:p>
    <w:sectPr w:rsidR="007772B7" w:rsidRPr="00E34564" w:rsidSect="00105E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9B1B0" w14:textId="77777777" w:rsidR="00285A27" w:rsidRDefault="00285A27" w:rsidP="005B1B71">
      <w:r>
        <w:separator/>
      </w:r>
    </w:p>
  </w:endnote>
  <w:endnote w:type="continuationSeparator" w:id="0">
    <w:p w14:paraId="7132638D" w14:textId="77777777" w:rsidR="00285A27" w:rsidRDefault="00285A27" w:rsidP="005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4F09" w14:textId="77777777" w:rsidR="00285A27" w:rsidRDefault="00285A27" w:rsidP="005B1B71">
      <w:r>
        <w:separator/>
      </w:r>
    </w:p>
  </w:footnote>
  <w:footnote w:type="continuationSeparator" w:id="0">
    <w:p w14:paraId="59BE18A0" w14:textId="77777777" w:rsidR="00285A27" w:rsidRDefault="00285A27" w:rsidP="005B1B71">
      <w:r>
        <w:continuationSeparator/>
      </w:r>
    </w:p>
  </w:footnote>
  <w:footnote w:id="1">
    <w:p w14:paraId="515666CB" w14:textId="3E79982A" w:rsidR="0058197E" w:rsidRPr="00313244" w:rsidRDefault="0058197E" w:rsidP="0058197E">
      <w:pPr>
        <w:pStyle w:val="a5"/>
        <w:jc w:val="both"/>
        <w:rPr>
          <w:sz w:val="18"/>
          <w:lang w:val="ru-RU"/>
        </w:rPr>
      </w:pPr>
      <w:r w:rsidRPr="00313244">
        <w:rPr>
          <w:rStyle w:val="a7"/>
        </w:rPr>
        <w:footnoteRef/>
      </w:r>
      <w:r w:rsidRPr="00313244">
        <w:rPr>
          <w:lang w:val="ru-RU"/>
        </w:rPr>
        <w:t xml:space="preserve"> Согласно Программе реновации </w:t>
      </w:r>
      <w:r w:rsidR="00313244" w:rsidRPr="00313244">
        <w:rPr>
          <w:lang w:val="ru-RU"/>
        </w:rPr>
        <w:t>дома</w:t>
      </w:r>
      <w:r w:rsidRPr="00313244">
        <w:rPr>
          <w:lang w:val="ru-RU"/>
        </w:rPr>
        <w:t>, включенные в Программы реновации, но имеющие историческую и (или) архитектурную ценность, после освобождения всех помещений подлежат сохранению, в том числе в</w:t>
      </w:r>
      <w:r w:rsidR="00313244">
        <w:rPr>
          <w:lang w:val="ru-RU"/>
        </w:rPr>
        <w:t> </w:t>
      </w:r>
      <w:r w:rsidRPr="00313244">
        <w:rPr>
          <w:lang w:val="ru-RU"/>
        </w:rPr>
        <w:t>целях сохранения архитектурного облика сложившейся застройки.</w:t>
      </w:r>
    </w:p>
  </w:footnote>
  <w:footnote w:id="2">
    <w:p w14:paraId="135E4816" w14:textId="359C652F" w:rsidR="00FB0AC1" w:rsidRPr="00313244" w:rsidRDefault="00FB0AC1" w:rsidP="00313244">
      <w:pPr>
        <w:pStyle w:val="a5"/>
        <w:jc w:val="both"/>
        <w:rPr>
          <w:sz w:val="22"/>
          <w:szCs w:val="22"/>
          <w:lang w:val="ru-RU"/>
        </w:rPr>
      </w:pPr>
      <w:r w:rsidRPr="00313244">
        <w:rPr>
          <w:rStyle w:val="a7"/>
          <w:szCs w:val="22"/>
        </w:rPr>
        <w:footnoteRef/>
      </w:r>
      <w:r w:rsidRPr="00313244">
        <w:rPr>
          <w:szCs w:val="22"/>
          <w:lang w:val="ru-RU"/>
        </w:rPr>
        <w:t xml:space="preserve"> Приказом Департамента градостроительной политики города Москвы, Департамента городского имущества города Москвы и Департамента строительства города Москвы от 12.08.2020 № 45/182/ПР-335/20 определены этапы реализации Программы реновации:</w:t>
      </w:r>
      <w:r w:rsidR="00313244" w:rsidRPr="00313244">
        <w:rPr>
          <w:szCs w:val="22"/>
          <w:lang w:val="ru-RU"/>
        </w:rPr>
        <w:t xml:space="preserve"> </w:t>
      </w:r>
      <w:r w:rsidRPr="00313244">
        <w:rPr>
          <w:szCs w:val="22"/>
          <w:lang w:val="ru-RU"/>
        </w:rPr>
        <w:t>1-й этап – 2020-2024 годы;</w:t>
      </w:r>
      <w:r w:rsidR="00313244" w:rsidRPr="00313244">
        <w:rPr>
          <w:szCs w:val="22"/>
          <w:lang w:val="ru-RU"/>
        </w:rPr>
        <w:t xml:space="preserve"> </w:t>
      </w:r>
      <w:r w:rsidRPr="00313244">
        <w:rPr>
          <w:szCs w:val="22"/>
          <w:lang w:val="ru-RU"/>
        </w:rPr>
        <w:t>2-й этап – 2025-2028 годы;</w:t>
      </w:r>
      <w:r w:rsidR="00313244" w:rsidRPr="00313244">
        <w:rPr>
          <w:szCs w:val="22"/>
          <w:lang w:val="ru-RU"/>
        </w:rPr>
        <w:t xml:space="preserve"> </w:t>
      </w:r>
      <w:r w:rsidRPr="00313244">
        <w:rPr>
          <w:szCs w:val="22"/>
          <w:lang w:val="ru-RU"/>
        </w:rPr>
        <w:t>3-й этап – 2029-2032 годы.</w:t>
      </w:r>
    </w:p>
  </w:footnote>
  <w:footnote w:id="3">
    <w:p w14:paraId="294474AC" w14:textId="5E146EB8" w:rsidR="00BC2099" w:rsidRPr="00313244" w:rsidRDefault="00BC2099" w:rsidP="00313244">
      <w:pPr>
        <w:pStyle w:val="a5"/>
        <w:jc w:val="both"/>
        <w:rPr>
          <w:lang w:val="ru-RU"/>
        </w:rPr>
      </w:pPr>
      <w:r w:rsidRPr="00313244">
        <w:rPr>
          <w:rStyle w:val="a7"/>
        </w:rPr>
        <w:footnoteRef/>
      </w:r>
      <w:r w:rsidR="00F43ECE" w:rsidRPr="00313244">
        <w:rPr>
          <w:lang w:val="ru-RU"/>
        </w:rPr>
        <w:t> </w:t>
      </w:r>
      <w:r w:rsidRPr="00313244">
        <w:rPr>
          <w:lang w:val="ru-RU"/>
        </w:rPr>
        <w:t>Предполагается, что со временем все жилищное строительство по Программе реновации будет осуществляться в рамках комплексной квартальной застройки.</w:t>
      </w:r>
    </w:p>
  </w:footnote>
  <w:footnote w:id="4">
    <w:p w14:paraId="1D082943" w14:textId="7D90A7C6" w:rsidR="00313244" w:rsidRPr="00313244" w:rsidRDefault="00313244" w:rsidP="00313244">
      <w:pPr>
        <w:pStyle w:val="a5"/>
        <w:jc w:val="both"/>
        <w:rPr>
          <w:lang w:val="ru-RU"/>
        </w:rPr>
      </w:pPr>
      <w:r w:rsidRPr="00313244">
        <w:rPr>
          <w:rStyle w:val="a7"/>
        </w:rPr>
        <w:footnoteRef/>
      </w:r>
      <w:r w:rsidR="00E34564">
        <w:t> </w:t>
      </w:r>
      <w:r w:rsidRPr="00313244">
        <w:rPr>
          <w:lang w:val="ru-RU"/>
        </w:rPr>
        <w:t>В том числе определить среднюю долю затрат на подключение к инженерным сетям в стоимости строительства домов отчетного периода; по фактам, где доля таких затрат значительно (более чем на</w:t>
      </w:r>
      <w:r w:rsidR="005023DC">
        <w:rPr>
          <w:lang w:val="ru-RU"/>
        </w:rPr>
        <w:t> </w:t>
      </w:r>
      <w:r w:rsidRPr="00313244">
        <w:rPr>
          <w:lang w:val="ru-RU"/>
        </w:rPr>
        <w:t>5,0</w:t>
      </w:r>
      <w:r w:rsidR="005023DC">
        <w:rPr>
          <w:lang w:val="ru-RU"/>
        </w:rPr>
        <w:t> </w:t>
      </w:r>
      <w:r w:rsidRPr="00313244">
        <w:rPr>
          <w:lang w:val="ru-RU"/>
        </w:rPr>
        <w:t xml:space="preserve">процента) отличается от среднего значения, установить соответствующие причины. </w:t>
      </w:r>
    </w:p>
  </w:footnote>
  <w:footnote w:id="5">
    <w:p w14:paraId="240EAD41" w14:textId="48CD928C" w:rsidR="00327486" w:rsidRPr="00327486" w:rsidRDefault="00327486" w:rsidP="00313244">
      <w:pPr>
        <w:pStyle w:val="a5"/>
        <w:jc w:val="both"/>
        <w:rPr>
          <w:lang w:val="ru-RU"/>
        </w:rPr>
      </w:pPr>
      <w:r w:rsidRPr="00313244">
        <w:rPr>
          <w:rStyle w:val="a7"/>
        </w:rPr>
        <w:footnoteRef/>
      </w:r>
      <w:r w:rsidR="00E34564">
        <w:t> </w:t>
      </w:r>
      <w:r w:rsidRPr="00313244">
        <w:rPr>
          <w:lang w:val="ru-RU"/>
        </w:rPr>
        <w:t xml:space="preserve">В целях установления фактов безрезультатных расходов </w:t>
      </w:r>
      <w:r w:rsidR="00C34FD1" w:rsidRPr="00313244">
        <w:rPr>
          <w:lang w:val="ru-RU"/>
        </w:rPr>
        <w:t>бюджетных средств</w:t>
      </w:r>
      <w:r w:rsidRPr="00313244">
        <w:rPr>
          <w:lang w:val="ru-RU"/>
        </w:rPr>
        <w:t xml:space="preserve"> и последующей классификации таких сумм.</w:t>
      </w:r>
    </w:p>
  </w:footnote>
  <w:footnote w:id="6">
    <w:p w14:paraId="423CB6B0" w14:textId="77777777" w:rsidR="00BC2099" w:rsidRPr="005023DC" w:rsidRDefault="00BC2099" w:rsidP="00BC2099">
      <w:pPr>
        <w:pStyle w:val="a5"/>
        <w:jc w:val="both"/>
        <w:rPr>
          <w:szCs w:val="22"/>
          <w:highlight w:val="yellow"/>
          <w:lang w:val="ru-RU"/>
        </w:rPr>
      </w:pPr>
      <w:r w:rsidRPr="005023DC">
        <w:rPr>
          <w:rStyle w:val="a7"/>
          <w:szCs w:val="22"/>
        </w:rPr>
        <w:footnoteRef/>
      </w:r>
      <w:r w:rsidRPr="005023DC">
        <w:rPr>
          <w:szCs w:val="22"/>
        </w:rPr>
        <w:t> </w:t>
      </w:r>
      <w:r w:rsidRPr="005023DC">
        <w:rPr>
          <w:szCs w:val="22"/>
          <w:lang w:val="ru-RU"/>
        </w:rPr>
        <w:t>Договоры на оказание услуг по исполнению функций технического заказчика на период выполнения проектно-изыскательских работ и на период строительства, на</w:t>
      </w:r>
      <w:r w:rsidRPr="005023DC">
        <w:rPr>
          <w:szCs w:val="22"/>
        </w:rPr>
        <w:t> </w:t>
      </w:r>
      <w:r w:rsidRPr="005023DC">
        <w:rPr>
          <w:szCs w:val="22"/>
          <w:lang w:val="ru-RU"/>
        </w:rPr>
        <w:t>выполнение проектно-изыскательских и подрядных работ по строительству.</w:t>
      </w:r>
    </w:p>
  </w:footnote>
  <w:footnote w:id="7">
    <w:p w14:paraId="2E394D5D" w14:textId="2C46DBCE" w:rsidR="00BC2099" w:rsidRPr="003809F8" w:rsidRDefault="00BC2099" w:rsidP="00BC2099">
      <w:pPr>
        <w:pStyle w:val="a5"/>
        <w:jc w:val="both"/>
        <w:rPr>
          <w:sz w:val="22"/>
          <w:lang w:val="ru-RU"/>
        </w:rPr>
      </w:pPr>
      <w:r w:rsidRPr="005023DC">
        <w:rPr>
          <w:rStyle w:val="a7"/>
        </w:rPr>
        <w:footnoteRef/>
      </w:r>
      <w:r w:rsidRPr="005023DC">
        <w:t> </w:t>
      </w:r>
      <w:r w:rsidRPr="005023DC">
        <w:rPr>
          <w:lang w:val="ru-RU"/>
        </w:rPr>
        <w:t>На оказание услуг по исполнению функций технического заказчика, авторского надзора на период выполнения проектно-изыскательских работ и на период строительства, на</w:t>
      </w:r>
      <w:r w:rsidR="005023DC">
        <w:rPr>
          <w:lang w:val="ru-RU"/>
        </w:rPr>
        <w:t xml:space="preserve"> </w:t>
      </w:r>
      <w:r w:rsidRPr="005023DC">
        <w:rPr>
          <w:lang w:val="ru-RU"/>
        </w:rPr>
        <w:t>выполнение проектно-изыскательских и подрядных работ по строительству (включая снос) объектов в соответствии с ППТ (стандартная формулировка договоров).</w:t>
      </w:r>
    </w:p>
  </w:footnote>
  <w:footnote w:id="8">
    <w:p w14:paraId="7FE036BE" w14:textId="6D9E610E" w:rsidR="00DA44B5" w:rsidRPr="005023DC" w:rsidRDefault="00DA44B5" w:rsidP="00BF33E0">
      <w:pPr>
        <w:pStyle w:val="a5"/>
        <w:jc w:val="both"/>
        <w:rPr>
          <w:sz w:val="18"/>
          <w:lang w:val="ru-RU"/>
        </w:rPr>
      </w:pPr>
      <w:r w:rsidRPr="005023DC">
        <w:rPr>
          <w:rStyle w:val="a7"/>
        </w:rPr>
        <w:footnoteRef/>
      </w:r>
      <w:r w:rsidR="00F43ECE" w:rsidRPr="005023DC">
        <w:rPr>
          <w:lang w:val="ru-RU"/>
        </w:rPr>
        <w:t> </w:t>
      </w:r>
      <w:r w:rsidRPr="005023DC">
        <w:rPr>
          <w:lang w:val="ru-RU"/>
        </w:rPr>
        <w:t>Порог низкого исполнения определяется по общему правилу: з</w:t>
      </w:r>
      <w:r w:rsidR="00F43ECE" w:rsidRPr="005023DC">
        <w:rPr>
          <w:lang w:val="ru-RU"/>
        </w:rPr>
        <w:t>а первое полугодие – менее 25,0 </w:t>
      </w:r>
      <w:r w:rsidRPr="005023DC">
        <w:rPr>
          <w:lang w:val="ru-RU"/>
        </w:rPr>
        <w:t>процента, за</w:t>
      </w:r>
      <w:r w:rsidR="005023DC">
        <w:rPr>
          <w:lang w:val="ru-RU"/>
        </w:rPr>
        <w:t> </w:t>
      </w:r>
      <w:r w:rsidRPr="005023DC">
        <w:rPr>
          <w:lang w:val="ru-RU"/>
        </w:rPr>
        <w:t xml:space="preserve">год – менее 50,0 процента. </w:t>
      </w:r>
    </w:p>
  </w:footnote>
  <w:footnote w:id="9">
    <w:p w14:paraId="253D3984" w14:textId="3194F19F" w:rsidR="00230F80" w:rsidRPr="006B6673" w:rsidRDefault="00230F80" w:rsidP="006B6673">
      <w:pPr>
        <w:pStyle w:val="a5"/>
        <w:jc w:val="both"/>
        <w:rPr>
          <w:lang w:val="ru-RU"/>
        </w:rPr>
      </w:pPr>
      <w:r w:rsidRPr="005023DC">
        <w:rPr>
          <w:rStyle w:val="a7"/>
        </w:rPr>
        <w:footnoteRef/>
      </w:r>
      <w:r w:rsidRPr="005023DC">
        <w:rPr>
          <w:lang w:val="ru-RU"/>
        </w:rPr>
        <w:t xml:space="preserve"> При наступлении нового отчетного периода объект анализа следует менять. </w:t>
      </w:r>
      <w:r w:rsidR="00C34FD1" w:rsidRPr="005023DC">
        <w:rPr>
          <w:lang w:val="ru-RU"/>
        </w:rPr>
        <w:t>Исполнение по</w:t>
      </w:r>
      <w:r w:rsidR="00E34564">
        <w:rPr>
          <w:lang w:val="ru-RU"/>
        </w:rPr>
        <w:t xml:space="preserve"> </w:t>
      </w:r>
      <w:r w:rsidR="0014258D" w:rsidRPr="005023DC">
        <w:rPr>
          <w:lang w:val="ru-RU"/>
        </w:rPr>
        <w:t>г</w:t>
      </w:r>
      <w:r w:rsidRPr="005023DC">
        <w:rPr>
          <w:lang w:val="ru-RU"/>
        </w:rPr>
        <w:t>лавн</w:t>
      </w:r>
      <w:r w:rsidR="0014258D" w:rsidRPr="005023DC">
        <w:rPr>
          <w:lang w:val="ru-RU"/>
        </w:rPr>
        <w:t>ому</w:t>
      </w:r>
      <w:r w:rsidRPr="005023DC">
        <w:rPr>
          <w:lang w:val="ru-RU"/>
        </w:rPr>
        <w:t xml:space="preserve"> распорядител</w:t>
      </w:r>
      <w:r w:rsidR="0014258D" w:rsidRPr="005023DC">
        <w:rPr>
          <w:lang w:val="ru-RU"/>
        </w:rPr>
        <w:t>ю</w:t>
      </w:r>
      <w:r w:rsidRPr="005023DC">
        <w:rPr>
          <w:lang w:val="ru-RU"/>
        </w:rPr>
        <w:t xml:space="preserve"> бюджетных средств, на долю которого приходится большая часть бюджетных ассигнований, </w:t>
      </w:r>
      <w:r w:rsidR="0014258D" w:rsidRPr="005023DC">
        <w:rPr>
          <w:lang w:val="ru-RU"/>
        </w:rPr>
        <w:t>анализируется</w:t>
      </w:r>
      <w:r w:rsidRPr="005023DC">
        <w:rPr>
          <w:lang w:val="ru-RU"/>
        </w:rPr>
        <w:t xml:space="preserve"> на постоянной основе. </w:t>
      </w:r>
    </w:p>
  </w:footnote>
  <w:footnote w:id="10">
    <w:p w14:paraId="2FD41EA8" w14:textId="50453712" w:rsidR="00C34FD1" w:rsidRPr="00C34FD1" w:rsidRDefault="00C34FD1" w:rsidP="00592F4E">
      <w:pPr>
        <w:pStyle w:val="a5"/>
        <w:widowControl w:val="0"/>
        <w:jc w:val="both"/>
        <w:rPr>
          <w:lang w:val="ru-RU"/>
        </w:rPr>
      </w:pPr>
      <w:r w:rsidRPr="005023DC">
        <w:rPr>
          <w:rStyle w:val="a7"/>
        </w:rPr>
        <w:footnoteRef/>
      </w:r>
      <w:r w:rsidRPr="005023DC">
        <w:rPr>
          <w:lang w:val="ru-RU"/>
        </w:rPr>
        <w:t> В целях установления рисков избыточных расходов бюджетных средств</w:t>
      </w:r>
      <w:r w:rsidR="001224E4">
        <w:rPr>
          <w:lang w:val="ru-RU"/>
        </w:rPr>
        <w:t xml:space="preserve"> города Москвы</w:t>
      </w:r>
      <w:r w:rsidRPr="005023DC">
        <w:rPr>
          <w:lang w:val="ru-RU"/>
        </w:rPr>
        <w:t xml:space="preserve"> и последующей классификации таких сумм.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3853"/>
      <w:docPartObj>
        <w:docPartGallery w:val="Page Numbers (Top of Page)"/>
        <w:docPartUnique/>
      </w:docPartObj>
    </w:sdtPr>
    <w:sdtEndPr/>
    <w:sdtContent>
      <w:p w14:paraId="4B1D9507" w14:textId="43A3CBD0" w:rsidR="00230F80" w:rsidRDefault="00230F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35" w:rsidRPr="00952035">
          <w:rPr>
            <w:noProof/>
            <w:lang w:val="ru-RU"/>
          </w:rPr>
          <w:t>5</w:t>
        </w:r>
        <w:r>
          <w:fldChar w:fldCharType="end"/>
        </w:r>
      </w:p>
    </w:sdtContent>
  </w:sdt>
  <w:p w14:paraId="5C9811B2" w14:textId="77777777" w:rsidR="00230F80" w:rsidRDefault="00230F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F"/>
    <w:rsid w:val="00005AF2"/>
    <w:rsid w:val="00007CF7"/>
    <w:rsid w:val="00012221"/>
    <w:rsid w:val="00012877"/>
    <w:rsid w:val="000132E4"/>
    <w:rsid w:val="00015B1C"/>
    <w:rsid w:val="00015FA4"/>
    <w:rsid w:val="0002612F"/>
    <w:rsid w:val="00032AED"/>
    <w:rsid w:val="00043864"/>
    <w:rsid w:val="00043CC5"/>
    <w:rsid w:val="000476BF"/>
    <w:rsid w:val="00047A21"/>
    <w:rsid w:val="00052C7E"/>
    <w:rsid w:val="00057DFB"/>
    <w:rsid w:val="0006534F"/>
    <w:rsid w:val="00072251"/>
    <w:rsid w:val="000A076B"/>
    <w:rsid w:val="000A0EA3"/>
    <w:rsid w:val="000C0413"/>
    <w:rsid w:val="000C11E0"/>
    <w:rsid w:val="000C17AF"/>
    <w:rsid w:val="000E61CB"/>
    <w:rsid w:val="000F17B1"/>
    <w:rsid w:val="000F2046"/>
    <w:rsid w:val="000F4400"/>
    <w:rsid w:val="00105E0F"/>
    <w:rsid w:val="00106D86"/>
    <w:rsid w:val="001136DA"/>
    <w:rsid w:val="00117391"/>
    <w:rsid w:val="0012135B"/>
    <w:rsid w:val="001224E4"/>
    <w:rsid w:val="00141B67"/>
    <w:rsid w:val="0014258D"/>
    <w:rsid w:val="00144B90"/>
    <w:rsid w:val="00163B64"/>
    <w:rsid w:val="00176E66"/>
    <w:rsid w:val="00190F49"/>
    <w:rsid w:val="001A50A7"/>
    <w:rsid w:val="001A601C"/>
    <w:rsid w:val="001B5BCB"/>
    <w:rsid w:val="001C237D"/>
    <w:rsid w:val="001E13F4"/>
    <w:rsid w:val="001E312E"/>
    <w:rsid w:val="0020287B"/>
    <w:rsid w:val="00203370"/>
    <w:rsid w:val="002056D4"/>
    <w:rsid w:val="0020676E"/>
    <w:rsid w:val="00225A2A"/>
    <w:rsid w:val="00230F80"/>
    <w:rsid w:val="00262223"/>
    <w:rsid w:val="00266D5A"/>
    <w:rsid w:val="00270EE2"/>
    <w:rsid w:val="002803E1"/>
    <w:rsid w:val="00280AB0"/>
    <w:rsid w:val="0028320B"/>
    <w:rsid w:val="00283C8E"/>
    <w:rsid w:val="00284560"/>
    <w:rsid w:val="00285A27"/>
    <w:rsid w:val="002B2DE9"/>
    <w:rsid w:val="002B393C"/>
    <w:rsid w:val="002E1AFB"/>
    <w:rsid w:val="002E5C58"/>
    <w:rsid w:val="002E758D"/>
    <w:rsid w:val="003073F6"/>
    <w:rsid w:val="00313244"/>
    <w:rsid w:val="00327486"/>
    <w:rsid w:val="00342EC0"/>
    <w:rsid w:val="0034465A"/>
    <w:rsid w:val="0034490A"/>
    <w:rsid w:val="003675B8"/>
    <w:rsid w:val="00367BB8"/>
    <w:rsid w:val="00375CEA"/>
    <w:rsid w:val="003809F8"/>
    <w:rsid w:val="0038373A"/>
    <w:rsid w:val="00386C47"/>
    <w:rsid w:val="00391FEE"/>
    <w:rsid w:val="003927F8"/>
    <w:rsid w:val="003944F6"/>
    <w:rsid w:val="003A0796"/>
    <w:rsid w:val="003C1BB2"/>
    <w:rsid w:val="00400508"/>
    <w:rsid w:val="0040618C"/>
    <w:rsid w:val="00407EF3"/>
    <w:rsid w:val="004325AD"/>
    <w:rsid w:val="00433623"/>
    <w:rsid w:val="00433E02"/>
    <w:rsid w:val="004366AC"/>
    <w:rsid w:val="00460D34"/>
    <w:rsid w:val="00467BC9"/>
    <w:rsid w:val="00477B35"/>
    <w:rsid w:val="00485055"/>
    <w:rsid w:val="00492CB2"/>
    <w:rsid w:val="004A11D1"/>
    <w:rsid w:val="004B192C"/>
    <w:rsid w:val="004C1391"/>
    <w:rsid w:val="004D36B5"/>
    <w:rsid w:val="004D4E58"/>
    <w:rsid w:val="004E5392"/>
    <w:rsid w:val="004E5C64"/>
    <w:rsid w:val="004F1DC9"/>
    <w:rsid w:val="00500A92"/>
    <w:rsid w:val="005023DC"/>
    <w:rsid w:val="005070A2"/>
    <w:rsid w:val="00514D14"/>
    <w:rsid w:val="0051549E"/>
    <w:rsid w:val="005201FE"/>
    <w:rsid w:val="00521095"/>
    <w:rsid w:val="005263A2"/>
    <w:rsid w:val="005266FB"/>
    <w:rsid w:val="00533B20"/>
    <w:rsid w:val="005352B9"/>
    <w:rsid w:val="005475E0"/>
    <w:rsid w:val="00547DBF"/>
    <w:rsid w:val="005521FB"/>
    <w:rsid w:val="0055717C"/>
    <w:rsid w:val="00573656"/>
    <w:rsid w:val="0058197E"/>
    <w:rsid w:val="00592F4E"/>
    <w:rsid w:val="00594DA6"/>
    <w:rsid w:val="005B1B71"/>
    <w:rsid w:val="005D2051"/>
    <w:rsid w:val="005D66EE"/>
    <w:rsid w:val="005D6911"/>
    <w:rsid w:val="005E585A"/>
    <w:rsid w:val="005F2B09"/>
    <w:rsid w:val="005F463C"/>
    <w:rsid w:val="00604ED4"/>
    <w:rsid w:val="00605DCA"/>
    <w:rsid w:val="00617ED0"/>
    <w:rsid w:val="00640811"/>
    <w:rsid w:val="00643826"/>
    <w:rsid w:val="00651563"/>
    <w:rsid w:val="00651FB2"/>
    <w:rsid w:val="00652656"/>
    <w:rsid w:val="00653A68"/>
    <w:rsid w:val="00667F08"/>
    <w:rsid w:val="006946BD"/>
    <w:rsid w:val="006B25E6"/>
    <w:rsid w:val="006B6673"/>
    <w:rsid w:val="006C43D0"/>
    <w:rsid w:val="006D2115"/>
    <w:rsid w:val="006D5AE7"/>
    <w:rsid w:val="006D62FF"/>
    <w:rsid w:val="006E17E8"/>
    <w:rsid w:val="006E1ABF"/>
    <w:rsid w:val="006E1D92"/>
    <w:rsid w:val="006E3A8B"/>
    <w:rsid w:val="006E4780"/>
    <w:rsid w:val="006F3B18"/>
    <w:rsid w:val="006F6341"/>
    <w:rsid w:val="006F6AE7"/>
    <w:rsid w:val="0070384A"/>
    <w:rsid w:val="00703DFB"/>
    <w:rsid w:val="00721370"/>
    <w:rsid w:val="007318F7"/>
    <w:rsid w:val="00765B12"/>
    <w:rsid w:val="00774702"/>
    <w:rsid w:val="007772B7"/>
    <w:rsid w:val="0078516C"/>
    <w:rsid w:val="0078616F"/>
    <w:rsid w:val="00790288"/>
    <w:rsid w:val="00790484"/>
    <w:rsid w:val="00790BD6"/>
    <w:rsid w:val="00791337"/>
    <w:rsid w:val="007C24AD"/>
    <w:rsid w:val="007C40B3"/>
    <w:rsid w:val="007D012A"/>
    <w:rsid w:val="007F63A2"/>
    <w:rsid w:val="008104EF"/>
    <w:rsid w:val="00850C89"/>
    <w:rsid w:val="0086231C"/>
    <w:rsid w:val="0089437E"/>
    <w:rsid w:val="0089478D"/>
    <w:rsid w:val="00895ECB"/>
    <w:rsid w:val="008A0154"/>
    <w:rsid w:val="008A028F"/>
    <w:rsid w:val="008A5EB3"/>
    <w:rsid w:val="008D5AAB"/>
    <w:rsid w:val="008E792A"/>
    <w:rsid w:val="008E7B5B"/>
    <w:rsid w:val="008F725B"/>
    <w:rsid w:val="00901517"/>
    <w:rsid w:val="00904F73"/>
    <w:rsid w:val="0092190E"/>
    <w:rsid w:val="009333AB"/>
    <w:rsid w:val="009348B6"/>
    <w:rsid w:val="00952035"/>
    <w:rsid w:val="009536BD"/>
    <w:rsid w:val="0098188F"/>
    <w:rsid w:val="009A3DCA"/>
    <w:rsid w:val="009B0B56"/>
    <w:rsid w:val="009B31B9"/>
    <w:rsid w:val="009C2890"/>
    <w:rsid w:val="009C5D77"/>
    <w:rsid w:val="009C744A"/>
    <w:rsid w:val="009C7906"/>
    <w:rsid w:val="009D0DA5"/>
    <w:rsid w:val="009D31D2"/>
    <w:rsid w:val="009D4C45"/>
    <w:rsid w:val="009E3121"/>
    <w:rsid w:val="00A15C1F"/>
    <w:rsid w:val="00A20077"/>
    <w:rsid w:val="00A31A87"/>
    <w:rsid w:val="00A37BC4"/>
    <w:rsid w:val="00A51840"/>
    <w:rsid w:val="00A52FFA"/>
    <w:rsid w:val="00A54C4D"/>
    <w:rsid w:val="00A75522"/>
    <w:rsid w:val="00A76E9D"/>
    <w:rsid w:val="00A87045"/>
    <w:rsid w:val="00A9308D"/>
    <w:rsid w:val="00B13D95"/>
    <w:rsid w:val="00B15B95"/>
    <w:rsid w:val="00B34E50"/>
    <w:rsid w:val="00B427BC"/>
    <w:rsid w:val="00B432FF"/>
    <w:rsid w:val="00B439BC"/>
    <w:rsid w:val="00B57D14"/>
    <w:rsid w:val="00B7767C"/>
    <w:rsid w:val="00B87167"/>
    <w:rsid w:val="00BC2099"/>
    <w:rsid w:val="00BD4EC9"/>
    <w:rsid w:val="00BD73BF"/>
    <w:rsid w:val="00BF33E0"/>
    <w:rsid w:val="00BF789C"/>
    <w:rsid w:val="00C0326D"/>
    <w:rsid w:val="00C03751"/>
    <w:rsid w:val="00C2628E"/>
    <w:rsid w:val="00C3464F"/>
    <w:rsid w:val="00C34FD1"/>
    <w:rsid w:val="00C40ABC"/>
    <w:rsid w:val="00C50B49"/>
    <w:rsid w:val="00C56F54"/>
    <w:rsid w:val="00C627F8"/>
    <w:rsid w:val="00C73370"/>
    <w:rsid w:val="00C740D1"/>
    <w:rsid w:val="00C9154E"/>
    <w:rsid w:val="00CA6B16"/>
    <w:rsid w:val="00CB0771"/>
    <w:rsid w:val="00CC690B"/>
    <w:rsid w:val="00CD353E"/>
    <w:rsid w:val="00CD3D11"/>
    <w:rsid w:val="00CD7681"/>
    <w:rsid w:val="00CE0B0A"/>
    <w:rsid w:val="00CF244B"/>
    <w:rsid w:val="00CF48CE"/>
    <w:rsid w:val="00D075B0"/>
    <w:rsid w:val="00D12B93"/>
    <w:rsid w:val="00D27373"/>
    <w:rsid w:val="00D33190"/>
    <w:rsid w:val="00D42F49"/>
    <w:rsid w:val="00D53221"/>
    <w:rsid w:val="00D601D1"/>
    <w:rsid w:val="00D60A54"/>
    <w:rsid w:val="00D60D74"/>
    <w:rsid w:val="00D638CA"/>
    <w:rsid w:val="00D70FD5"/>
    <w:rsid w:val="00D74397"/>
    <w:rsid w:val="00D76D48"/>
    <w:rsid w:val="00D8311F"/>
    <w:rsid w:val="00D96EB7"/>
    <w:rsid w:val="00D9710F"/>
    <w:rsid w:val="00DA44B5"/>
    <w:rsid w:val="00DA55E5"/>
    <w:rsid w:val="00DB45A8"/>
    <w:rsid w:val="00DF4AE6"/>
    <w:rsid w:val="00E02546"/>
    <w:rsid w:val="00E05ACD"/>
    <w:rsid w:val="00E13428"/>
    <w:rsid w:val="00E15101"/>
    <w:rsid w:val="00E16B46"/>
    <w:rsid w:val="00E24355"/>
    <w:rsid w:val="00E2531E"/>
    <w:rsid w:val="00E34564"/>
    <w:rsid w:val="00E3471F"/>
    <w:rsid w:val="00E50104"/>
    <w:rsid w:val="00E6652B"/>
    <w:rsid w:val="00E80246"/>
    <w:rsid w:val="00E84F43"/>
    <w:rsid w:val="00E8772B"/>
    <w:rsid w:val="00E93AA4"/>
    <w:rsid w:val="00E96024"/>
    <w:rsid w:val="00EA1197"/>
    <w:rsid w:val="00EA5588"/>
    <w:rsid w:val="00EA641D"/>
    <w:rsid w:val="00EA67A7"/>
    <w:rsid w:val="00EB081C"/>
    <w:rsid w:val="00ED1618"/>
    <w:rsid w:val="00EE20B6"/>
    <w:rsid w:val="00EF0989"/>
    <w:rsid w:val="00F0379A"/>
    <w:rsid w:val="00F07221"/>
    <w:rsid w:val="00F13D23"/>
    <w:rsid w:val="00F16C68"/>
    <w:rsid w:val="00F2166A"/>
    <w:rsid w:val="00F27FB5"/>
    <w:rsid w:val="00F30D75"/>
    <w:rsid w:val="00F33ECC"/>
    <w:rsid w:val="00F341E5"/>
    <w:rsid w:val="00F36B55"/>
    <w:rsid w:val="00F408BE"/>
    <w:rsid w:val="00F43ECE"/>
    <w:rsid w:val="00F43F85"/>
    <w:rsid w:val="00F450B9"/>
    <w:rsid w:val="00F51E9F"/>
    <w:rsid w:val="00F52A31"/>
    <w:rsid w:val="00F56A9F"/>
    <w:rsid w:val="00F63C28"/>
    <w:rsid w:val="00F665B2"/>
    <w:rsid w:val="00F724D1"/>
    <w:rsid w:val="00F75411"/>
    <w:rsid w:val="00F93E03"/>
    <w:rsid w:val="00FB0AC1"/>
    <w:rsid w:val="00FB1F93"/>
    <w:rsid w:val="00FB4075"/>
    <w:rsid w:val="00FC2328"/>
    <w:rsid w:val="00FD3890"/>
    <w:rsid w:val="00FE25DB"/>
    <w:rsid w:val="00FE266F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A950"/>
  <w15:chartTrackingRefBased/>
  <w15:docId w15:val="{57B77BEB-B6F9-43BA-A5E0-B85A51F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0F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E2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jc w:val="both"/>
    </w:pPr>
    <w:rPr>
      <w:rFonts w:eastAsiaTheme="minorHAnsi"/>
      <w:b/>
      <w:sz w:val="2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FE25DB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FE25DB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FE25DB"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4">
    <w:name w:val="Table Grid"/>
    <w:basedOn w:val="a1"/>
    <w:uiPriority w:val="59"/>
    <w:rsid w:val="00FE25DB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6"/>
    <w:uiPriority w:val="99"/>
    <w:unhideWhenUsed/>
    <w:qFormat/>
    <w:rsid w:val="005B1B71"/>
    <w:rPr>
      <w:sz w:val="20"/>
      <w:szCs w:val="20"/>
    </w:rPr>
  </w:style>
  <w:style w:type="character" w:customStyle="1" w:styleId="a6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5"/>
    <w:uiPriority w:val="99"/>
    <w:rsid w:val="005B1B71"/>
    <w:rPr>
      <w:rFonts w:eastAsia="SimSun" w:cs="Times New Roman"/>
      <w:sz w:val="20"/>
      <w:lang w:val="en-US" w:bidi="en-US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5B1B7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333A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105E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ru-RU" w:eastAsia="ru-RU"/>
    </w:rPr>
  </w:style>
  <w:style w:type="table" w:customStyle="1" w:styleId="31">
    <w:name w:val="Сетка таблицы31"/>
    <w:basedOn w:val="a1"/>
    <w:next w:val="a4"/>
    <w:uiPriority w:val="59"/>
    <w:rsid w:val="00F63C28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2531E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7C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7CF7"/>
    <w:rPr>
      <w:rFonts w:ascii="Segoe UI" w:eastAsia="SimSun" w:hAnsi="Segoe UI" w:cs="Segoe UI"/>
      <w:sz w:val="18"/>
      <w:szCs w:val="18"/>
      <w:lang w:val="en-US" w:bidi="en-US"/>
    </w:rPr>
  </w:style>
  <w:style w:type="paragraph" w:styleId="af">
    <w:name w:val="No Spacing"/>
    <w:uiPriority w:val="1"/>
    <w:qFormat/>
    <w:rsid w:val="00270EE2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6137-9D63-4BED-8DE5-958998F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Гурская Анастасия Игоревна</cp:lastModifiedBy>
  <cp:revision>146</cp:revision>
  <cp:lastPrinted>2022-06-09T06:20:00Z</cp:lastPrinted>
  <dcterms:created xsi:type="dcterms:W3CDTF">2021-12-10T12:23:00Z</dcterms:created>
  <dcterms:modified xsi:type="dcterms:W3CDTF">2023-06-08T10:08:00Z</dcterms:modified>
</cp:coreProperties>
</file>